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483" w:rsidRDefault="004E1483" w:rsidP="004E1483">
      <w:pPr>
        <w:tabs>
          <w:tab w:val="left" w:pos="1440"/>
        </w:tabs>
        <w:ind w:left="720" w:right="810"/>
        <w:rPr>
          <w:sz w:val="23"/>
          <w:szCs w:val="23"/>
        </w:rPr>
      </w:pPr>
      <w:bookmarkStart w:id="0" w:name="_GoBack"/>
      <w:bookmarkEnd w:id="0"/>
    </w:p>
    <w:p w:rsidR="004E1483" w:rsidRDefault="004E1483" w:rsidP="004E1483">
      <w:pPr>
        <w:tabs>
          <w:tab w:val="left" w:pos="1440"/>
        </w:tabs>
        <w:ind w:left="720" w:right="810"/>
        <w:rPr>
          <w:sz w:val="23"/>
          <w:szCs w:val="23"/>
        </w:rPr>
      </w:pPr>
    </w:p>
    <w:p w:rsidR="004E1483" w:rsidRDefault="00F06731" w:rsidP="004E1483">
      <w:pPr>
        <w:tabs>
          <w:tab w:val="left" w:pos="1440"/>
        </w:tabs>
        <w:ind w:left="720" w:right="810"/>
        <w:rPr>
          <w:sz w:val="23"/>
          <w:szCs w:val="23"/>
        </w:rPr>
      </w:pPr>
      <w:r>
        <w:rPr>
          <w:sz w:val="23"/>
          <w:szCs w:val="23"/>
        </w:rPr>
        <w:t>July 14, 2015</w:t>
      </w:r>
    </w:p>
    <w:p w:rsidR="004E1483" w:rsidRDefault="004E1483" w:rsidP="004E1483">
      <w:pPr>
        <w:tabs>
          <w:tab w:val="left" w:pos="1440"/>
        </w:tabs>
        <w:ind w:left="720" w:right="810"/>
        <w:jc w:val="both"/>
        <w:rPr>
          <w:sz w:val="23"/>
          <w:szCs w:val="23"/>
        </w:rPr>
      </w:pPr>
    </w:p>
    <w:p w:rsidR="004E1483" w:rsidRDefault="004E1483" w:rsidP="004E1483">
      <w:pPr>
        <w:tabs>
          <w:tab w:val="left" w:pos="1440"/>
        </w:tabs>
        <w:ind w:left="720" w:right="810"/>
        <w:jc w:val="both"/>
        <w:rPr>
          <w:sz w:val="23"/>
          <w:szCs w:val="23"/>
        </w:rPr>
      </w:pPr>
    </w:p>
    <w:p w:rsidR="004E1483" w:rsidRDefault="004E1483" w:rsidP="004E1483">
      <w:pPr>
        <w:tabs>
          <w:tab w:val="left" w:pos="1440"/>
        </w:tabs>
        <w:ind w:left="720" w:right="810"/>
        <w:jc w:val="both"/>
        <w:rPr>
          <w:sz w:val="23"/>
          <w:szCs w:val="23"/>
        </w:rPr>
      </w:pPr>
    </w:p>
    <w:p w:rsidR="004E1483" w:rsidRDefault="00947A74" w:rsidP="004E1483">
      <w:pPr>
        <w:tabs>
          <w:tab w:val="left" w:pos="1440"/>
        </w:tabs>
        <w:ind w:left="720" w:right="810"/>
        <w:jc w:val="both"/>
        <w:rPr>
          <w:sz w:val="23"/>
          <w:szCs w:val="23"/>
        </w:rPr>
      </w:pPr>
      <w:r>
        <w:rPr>
          <w:sz w:val="23"/>
          <w:szCs w:val="23"/>
        </w:rPr>
        <w:t>Company Name</w:t>
      </w:r>
    </w:p>
    <w:p w:rsidR="004E1483" w:rsidRDefault="00947A74" w:rsidP="004E1483">
      <w:pPr>
        <w:tabs>
          <w:tab w:val="left" w:pos="1440"/>
        </w:tabs>
        <w:ind w:left="720" w:right="810"/>
        <w:jc w:val="both"/>
        <w:rPr>
          <w:sz w:val="23"/>
          <w:szCs w:val="23"/>
        </w:rPr>
      </w:pPr>
      <w:r>
        <w:rPr>
          <w:sz w:val="23"/>
          <w:szCs w:val="23"/>
        </w:rPr>
        <w:t>Address</w:t>
      </w:r>
    </w:p>
    <w:p w:rsidR="004E1483" w:rsidRDefault="00947A74" w:rsidP="004E1483">
      <w:pPr>
        <w:tabs>
          <w:tab w:val="left" w:pos="1440"/>
        </w:tabs>
        <w:ind w:left="720" w:right="810"/>
        <w:jc w:val="both"/>
        <w:rPr>
          <w:sz w:val="23"/>
          <w:szCs w:val="23"/>
        </w:rPr>
      </w:pPr>
      <w:r>
        <w:rPr>
          <w:sz w:val="23"/>
          <w:szCs w:val="23"/>
        </w:rPr>
        <w:t>City, State Zip</w:t>
      </w:r>
    </w:p>
    <w:p w:rsidR="004E1483" w:rsidRDefault="004E1483" w:rsidP="004E1483">
      <w:pPr>
        <w:tabs>
          <w:tab w:val="left" w:pos="1440"/>
        </w:tabs>
        <w:ind w:left="720" w:right="810"/>
        <w:jc w:val="both"/>
        <w:rPr>
          <w:sz w:val="23"/>
          <w:szCs w:val="23"/>
        </w:rPr>
      </w:pPr>
    </w:p>
    <w:p w:rsidR="004E1483" w:rsidRDefault="004E1483" w:rsidP="004E1483">
      <w:pPr>
        <w:tabs>
          <w:tab w:val="left" w:pos="1440"/>
        </w:tabs>
        <w:ind w:left="720" w:right="810"/>
        <w:jc w:val="both"/>
        <w:rPr>
          <w:sz w:val="23"/>
          <w:szCs w:val="23"/>
        </w:rPr>
      </w:pPr>
    </w:p>
    <w:p w:rsidR="004E1483" w:rsidRDefault="001B5EAB" w:rsidP="004E1483">
      <w:pPr>
        <w:tabs>
          <w:tab w:val="left" w:pos="1440"/>
        </w:tabs>
        <w:ind w:left="720" w:right="810"/>
        <w:jc w:val="both"/>
        <w:rPr>
          <w:b/>
          <w:sz w:val="23"/>
          <w:szCs w:val="23"/>
        </w:rPr>
      </w:pPr>
      <w:r w:rsidRPr="00CE7110">
        <w:rPr>
          <w:b/>
          <w:sz w:val="23"/>
          <w:szCs w:val="23"/>
        </w:rPr>
        <w:tab/>
        <w:t>RE:</w:t>
      </w:r>
      <w:r w:rsidRPr="00CE7110">
        <w:rPr>
          <w:b/>
          <w:sz w:val="23"/>
          <w:szCs w:val="23"/>
        </w:rPr>
        <w:tab/>
        <w:t>Wells</w:t>
      </w:r>
      <w:r>
        <w:rPr>
          <w:b/>
          <w:sz w:val="23"/>
          <w:szCs w:val="23"/>
        </w:rPr>
        <w:t xml:space="preserve"> located within</w:t>
      </w:r>
      <w:r w:rsidRPr="00CE7110">
        <w:rPr>
          <w:b/>
          <w:sz w:val="23"/>
          <w:szCs w:val="23"/>
        </w:rPr>
        <w:t xml:space="preserve"> </w:t>
      </w:r>
      <w:r w:rsidR="00027E1F">
        <w:rPr>
          <w:b/>
          <w:sz w:val="23"/>
          <w:szCs w:val="23"/>
        </w:rPr>
        <w:t xml:space="preserve">Expanded </w:t>
      </w:r>
      <w:r>
        <w:rPr>
          <w:b/>
          <w:sz w:val="23"/>
          <w:szCs w:val="23"/>
        </w:rPr>
        <w:t>A</w:t>
      </w:r>
      <w:r w:rsidRPr="00CE7110">
        <w:rPr>
          <w:b/>
          <w:sz w:val="23"/>
          <w:szCs w:val="23"/>
        </w:rPr>
        <w:t xml:space="preserve">reas </w:t>
      </w:r>
      <w:r w:rsidR="00B25DEE">
        <w:rPr>
          <w:b/>
          <w:sz w:val="23"/>
          <w:szCs w:val="23"/>
        </w:rPr>
        <w:t>of</w:t>
      </w:r>
      <w:r w:rsidRPr="00CE7110">
        <w:rPr>
          <w:b/>
          <w:sz w:val="23"/>
          <w:szCs w:val="23"/>
        </w:rPr>
        <w:t xml:space="preserve"> </w:t>
      </w:r>
      <w:r>
        <w:rPr>
          <w:b/>
          <w:sz w:val="23"/>
          <w:szCs w:val="23"/>
        </w:rPr>
        <w:t>I</w:t>
      </w:r>
      <w:r w:rsidRPr="00CE7110">
        <w:rPr>
          <w:b/>
          <w:sz w:val="23"/>
          <w:szCs w:val="23"/>
        </w:rPr>
        <w:t xml:space="preserve">nterest for </w:t>
      </w:r>
      <w:r w:rsidR="00CC08A1">
        <w:rPr>
          <w:b/>
          <w:sz w:val="23"/>
          <w:szCs w:val="23"/>
        </w:rPr>
        <w:t>I</w:t>
      </w:r>
      <w:r w:rsidRPr="00CE7110">
        <w:rPr>
          <w:b/>
          <w:sz w:val="23"/>
          <w:szCs w:val="23"/>
        </w:rPr>
        <w:t xml:space="preserve">nduced </w:t>
      </w:r>
      <w:r w:rsidR="00CC08A1">
        <w:rPr>
          <w:b/>
          <w:sz w:val="23"/>
          <w:szCs w:val="23"/>
        </w:rPr>
        <w:t>S</w:t>
      </w:r>
      <w:r w:rsidRPr="00CE7110">
        <w:rPr>
          <w:b/>
          <w:sz w:val="23"/>
          <w:szCs w:val="23"/>
        </w:rPr>
        <w:t>eismicity</w:t>
      </w:r>
    </w:p>
    <w:p w:rsidR="004E1483" w:rsidRDefault="004E1483" w:rsidP="004E1483">
      <w:pPr>
        <w:tabs>
          <w:tab w:val="left" w:pos="1440"/>
        </w:tabs>
        <w:ind w:left="720" w:right="810"/>
        <w:jc w:val="both"/>
        <w:rPr>
          <w:b/>
          <w:sz w:val="23"/>
          <w:szCs w:val="23"/>
        </w:rPr>
      </w:pPr>
    </w:p>
    <w:p w:rsidR="004E1483" w:rsidRDefault="004E1483" w:rsidP="004E1483">
      <w:pPr>
        <w:tabs>
          <w:tab w:val="left" w:pos="1440"/>
        </w:tabs>
        <w:ind w:left="720" w:right="810"/>
        <w:jc w:val="both"/>
        <w:rPr>
          <w:b/>
          <w:color w:val="000000"/>
          <w:sz w:val="23"/>
          <w:szCs w:val="23"/>
        </w:rPr>
      </w:pPr>
    </w:p>
    <w:p w:rsidR="004E1483" w:rsidRDefault="00FD61FE" w:rsidP="004E1483">
      <w:pPr>
        <w:tabs>
          <w:tab w:val="left" w:pos="1440"/>
        </w:tabs>
        <w:ind w:left="720" w:right="810"/>
        <w:jc w:val="both"/>
        <w:rPr>
          <w:sz w:val="24"/>
          <w:szCs w:val="24"/>
        </w:rPr>
      </w:pPr>
      <w:r>
        <w:rPr>
          <w:color w:val="000000"/>
          <w:sz w:val="23"/>
          <w:szCs w:val="23"/>
        </w:rPr>
        <w:t>Most companies</w:t>
      </w:r>
      <w:r w:rsidR="00F269F9">
        <w:rPr>
          <w:color w:val="000000"/>
          <w:sz w:val="23"/>
          <w:szCs w:val="23"/>
        </w:rPr>
        <w:t xml:space="preserve"> receiving this letter received our letter dated March 18</w:t>
      </w:r>
      <w:r w:rsidR="004E1483" w:rsidRPr="004E1483">
        <w:rPr>
          <w:color w:val="000000"/>
          <w:sz w:val="23"/>
          <w:szCs w:val="23"/>
          <w:vertAlign w:val="superscript"/>
        </w:rPr>
        <w:t>th</w:t>
      </w:r>
      <w:r w:rsidR="00F269F9">
        <w:rPr>
          <w:color w:val="000000"/>
          <w:sz w:val="23"/>
          <w:szCs w:val="23"/>
        </w:rPr>
        <w:t>. The OGCD is expanding our search for Arbuckle wells that may be completed in the basement below the Arbuckle formation. If you have not receive</w:t>
      </w:r>
      <w:r w:rsidR="00706D50">
        <w:rPr>
          <w:color w:val="000000"/>
          <w:sz w:val="23"/>
          <w:szCs w:val="23"/>
        </w:rPr>
        <w:t>d</w:t>
      </w:r>
      <w:r w:rsidR="00F269F9">
        <w:rPr>
          <w:color w:val="000000"/>
          <w:sz w:val="23"/>
          <w:szCs w:val="23"/>
        </w:rPr>
        <w:t xml:space="preserve"> the March 18</w:t>
      </w:r>
      <w:r w:rsidR="004E1483" w:rsidRPr="004E1483">
        <w:rPr>
          <w:color w:val="000000"/>
          <w:sz w:val="23"/>
          <w:szCs w:val="23"/>
          <w:vertAlign w:val="superscript"/>
        </w:rPr>
        <w:t>th</w:t>
      </w:r>
      <w:r w:rsidR="00F269F9">
        <w:rPr>
          <w:color w:val="000000"/>
          <w:sz w:val="23"/>
          <w:szCs w:val="23"/>
        </w:rPr>
        <w:t xml:space="preserve"> letter, your </w:t>
      </w:r>
      <w:r w:rsidR="001B5EAB" w:rsidRPr="00E128D4">
        <w:rPr>
          <w:color w:val="000000"/>
          <w:sz w:val="23"/>
          <w:szCs w:val="23"/>
        </w:rPr>
        <w:t xml:space="preserve">company has been identified as operating one or more Arbuckle disposal well(s) located within one or more of the Oil and Gas Conservation Division’s (OGCD) </w:t>
      </w:r>
      <w:r w:rsidR="00027E1F">
        <w:rPr>
          <w:color w:val="000000"/>
          <w:sz w:val="23"/>
          <w:szCs w:val="23"/>
        </w:rPr>
        <w:t xml:space="preserve">Expanded </w:t>
      </w:r>
      <w:r w:rsidR="001B5EAB" w:rsidRPr="00E128D4">
        <w:rPr>
          <w:color w:val="000000"/>
          <w:sz w:val="23"/>
          <w:szCs w:val="23"/>
        </w:rPr>
        <w:t xml:space="preserve">Areas Of Interest for induced seismicity. A map of the Areas </w:t>
      </w:r>
      <w:r w:rsidR="00B25DEE" w:rsidRPr="00E128D4">
        <w:rPr>
          <w:color w:val="000000"/>
          <w:sz w:val="23"/>
          <w:szCs w:val="23"/>
        </w:rPr>
        <w:t>of</w:t>
      </w:r>
      <w:r w:rsidR="001B5EAB" w:rsidRPr="00E128D4">
        <w:rPr>
          <w:color w:val="000000"/>
          <w:sz w:val="23"/>
          <w:szCs w:val="23"/>
        </w:rPr>
        <w:t xml:space="preserve"> Interest is </w:t>
      </w:r>
      <w:r w:rsidR="00B25DEE">
        <w:rPr>
          <w:color w:val="000000"/>
          <w:sz w:val="23"/>
          <w:szCs w:val="23"/>
        </w:rPr>
        <w:t>attached;</w:t>
      </w:r>
      <w:r w:rsidR="00F269F9">
        <w:rPr>
          <w:color w:val="000000"/>
          <w:sz w:val="23"/>
          <w:szCs w:val="23"/>
        </w:rPr>
        <w:t xml:space="preserve"> a revised version of the map will be made </w:t>
      </w:r>
      <w:r w:rsidR="001B5EAB" w:rsidRPr="00E128D4">
        <w:rPr>
          <w:color w:val="000000"/>
          <w:sz w:val="23"/>
          <w:szCs w:val="23"/>
        </w:rPr>
        <w:t>available at</w:t>
      </w:r>
      <w:r w:rsidR="001B5EAB">
        <w:rPr>
          <w:color w:val="FF0000"/>
          <w:sz w:val="23"/>
          <w:szCs w:val="23"/>
        </w:rPr>
        <w:t xml:space="preserve"> </w:t>
      </w:r>
      <w:hyperlink r:id="rId9" w:history="1">
        <w:r w:rsidR="001B5EAB" w:rsidRPr="00210295">
          <w:rPr>
            <w:rStyle w:val="Hyperlink"/>
            <w:sz w:val="23"/>
            <w:szCs w:val="23"/>
          </w:rPr>
          <w:t>www.occeweb.com</w:t>
        </w:r>
      </w:hyperlink>
      <w:r w:rsidR="001B5EAB">
        <w:t xml:space="preserve"> </w:t>
      </w:r>
      <w:r w:rsidR="001B5EAB" w:rsidRPr="00E729A5">
        <w:rPr>
          <w:sz w:val="24"/>
          <w:szCs w:val="24"/>
        </w:rPr>
        <w:t xml:space="preserve">under </w:t>
      </w:r>
      <w:r w:rsidR="001B5EAB">
        <w:rPr>
          <w:sz w:val="24"/>
          <w:szCs w:val="24"/>
        </w:rPr>
        <w:t>“H</w:t>
      </w:r>
      <w:r w:rsidR="001B5EAB" w:rsidRPr="00E729A5">
        <w:rPr>
          <w:sz w:val="24"/>
          <w:szCs w:val="24"/>
        </w:rPr>
        <w:t xml:space="preserve">ot </w:t>
      </w:r>
      <w:r w:rsidR="001B5EAB">
        <w:rPr>
          <w:sz w:val="24"/>
          <w:szCs w:val="24"/>
        </w:rPr>
        <w:t>T</w:t>
      </w:r>
      <w:r w:rsidR="001B5EAB" w:rsidRPr="00E729A5">
        <w:rPr>
          <w:sz w:val="24"/>
          <w:szCs w:val="24"/>
        </w:rPr>
        <w:t>opics</w:t>
      </w:r>
      <w:r w:rsidR="00835898">
        <w:rPr>
          <w:sz w:val="24"/>
          <w:szCs w:val="24"/>
        </w:rPr>
        <w:t>.</w:t>
      </w:r>
      <w:r w:rsidR="001B5EAB">
        <w:rPr>
          <w:sz w:val="24"/>
          <w:szCs w:val="24"/>
        </w:rPr>
        <w:t>”</w:t>
      </w:r>
    </w:p>
    <w:p w:rsidR="004E1483" w:rsidRDefault="004E1483" w:rsidP="004E1483">
      <w:pPr>
        <w:tabs>
          <w:tab w:val="left" w:pos="1440"/>
        </w:tabs>
        <w:ind w:left="720" w:right="810"/>
        <w:jc w:val="both"/>
        <w:rPr>
          <w:sz w:val="24"/>
          <w:szCs w:val="24"/>
        </w:rPr>
      </w:pPr>
    </w:p>
    <w:p w:rsidR="004E1483" w:rsidRDefault="00A40DA7" w:rsidP="004E1483">
      <w:pPr>
        <w:tabs>
          <w:tab w:val="left" w:pos="1440"/>
        </w:tabs>
        <w:ind w:left="720" w:right="810"/>
        <w:jc w:val="both"/>
        <w:rPr>
          <w:color w:val="000000"/>
          <w:sz w:val="23"/>
          <w:szCs w:val="23"/>
        </w:rPr>
      </w:pPr>
      <w:r w:rsidRPr="00CE7110">
        <w:rPr>
          <w:sz w:val="23"/>
          <w:szCs w:val="23"/>
        </w:rPr>
        <w:t xml:space="preserve">As you are aware, Oklahoma has experienced a dramatic increase in the number of earthquakes over the past few years. </w:t>
      </w:r>
      <w:r>
        <w:rPr>
          <w:sz w:val="23"/>
          <w:szCs w:val="23"/>
        </w:rPr>
        <w:t xml:space="preserve">There is general agreement among </w:t>
      </w:r>
      <w:r w:rsidRPr="00CE7110">
        <w:rPr>
          <w:sz w:val="23"/>
          <w:szCs w:val="23"/>
        </w:rPr>
        <w:t xml:space="preserve">seismologists that fluid disposal into </w:t>
      </w:r>
      <w:r>
        <w:rPr>
          <w:sz w:val="23"/>
          <w:szCs w:val="23"/>
        </w:rPr>
        <w:t>or in communication with the</w:t>
      </w:r>
      <w:r w:rsidRPr="00CE7110">
        <w:rPr>
          <w:sz w:val="23"/>
          <w:szCs w:val="23"/>
        </w:rPr>
        <w:t xml:space="preserve"> crystalline basement rock</w:t>
      </w:r>
      <w:r>
        <w:rPr>
          <w:sz w:val="23"/>
          <w:szCs w:val="23"/>
        </w:rPr>
        <w:t xml:space="preserve"> </w:t>
      </w:r>
      <w:r w:rsidRPr="00CE7110">
        <w:rPr>
          <w:sz w:val="23"/>
          <w:szCs w:val="23"/>
        </w:rPr>
        <w:t xml:space="preserve">presents </w:t>
      </w:r>
      <w:r>
        <w:rPr>
          <w:sz w:val="23"/>
          <w:szCs w:val="23"/>
        </w:rPr>
        <w:t xml:space="preserve">a potential </w:t>
      </w:r>
      <w:r w:rsidRPr="00CE7110">
        <w:rPr>
          <w:sz w:val="23"/>
          <w:szCs w:val="23"/>
        </w:rPr>
        <w:t>risk for induced seismicity.</w:t>
      </w:r>
      <w:r>
        <w:rPr>
          <w:sz w:val="23"/>
          <w:szCs w:val="23"/>
        </w:rPr>
        <w:t xml:space="preserve"> </w:t>
      </w:r>
      <w:r w:rsidRPr="00E128D4">
        <w:rPr>
          <w:color w:val="000000"/>
          <w:sz w:val="23"/>
          <w:szCs w:val="23"/>
        </w:rPr>
        <w:t>As part of the effort to reduce this risk, the OGCD is directing you</w:t>
      </w:r>
      <w:r w:rsidR="00191E59">
        <w:rPr>
          <w:color w:val="000000"/>
          <w:sz w:val="23"/>
          <w:szCs w:val="23"/>
        </w:rPr>
        <w:t>r company</w:t>
      </w:r>
      <w:r w:rsidRPr="00E128D4">
        <w:rPr>
          <w:color w:val="000000"/>
          <w:sz w:val="23"/>
          <w:szCs w:val="23"/>
        </w:rPr>
        <w:t xml:space="preserve"> establish </w:t>
      </w:r>
      <w:r w:rsidR="00CC08A1">
        <w:rPr>
          <w:color w:val="000000"/>
          <w:sz w:val="23"/>
          <w:szCs w:val="23"/>
        </w:rPr>
        <w:t xml:space="preserve">that </w:t>
      </w:r>
      <w:r w:rsidRPr="00E128D4">
        <w:rPr>
          <w:color w:val="000000"/>
          <w:sz w:val="23"/>
          <w:szCs w:val="23"/>
        </w:rPr>
        <w:t xml:space="preserve">your well(s) </w:t>
      </w:r>
      <w:r w:rsidR="00191E59">
        <w:rPr>
          <w:color w:val="000000"/>
          <w:sz w:val="23"/>
          <w:szCs w:val="23"/>
        </w:rPr>
        <w:t>(</w:t>
      </w:r>
      <w:r w:rsidRPr="00E128D4">
        <w:rPr>
          <w:color w:val="000000"/>
          <w:sz w:val="23"/>
          <w:szCs w:val="23"/>
        </w:rPr>
        <w:t xml:space="preserve">listed on the </w:t>
      </w:r>
      <w:r>
        <w:rPr>
          <w:color w:val="000000"/>
          <w:sz w:val="23"/>
          <w:szCs w:val="23"/>
        </w:rPr>
        <w:t xml:space="preserve">attached </w:t>
      </w:r>
      <w:r w:rsidRPr="00E128D4">
        <w:rPr>
          <w:color w:val="000000"/>
          <w:sz w:val="23"/>
          <w:szCs w:val="23"/>
        </w:rPr>
        <w:t>page</w:t>
      </w:r>
      <w:r w:rsidR="00191E59">
        <w:rPr>
          <w:color w:val="000000"/>
          <w:sz w:val="23"/>
          <w:szCs w:val="23"/>
        </w:rPr>
        <w:t>)</w:t>
      </w:r>
      <w:r w:rsidRPr="00E128D4">
        <w:rPr>
          <w:color w:val="000000"/>
          <w:sz w:val="23"/>
          <w:szCs w:val="23"/>
        </w:rPr>
        <w:t xml:space="preserve"> are not disposing into or in communication with the crystalline basement rock. Wells disposing into the Reagan Sand or Granite Wash are considered to be in communication with the crystalline basement rock. All wells found to be in contact or communication with the crystalline basement rock must be plugged back.</w:t>
      </w:r>
      <w:r>
        <w:rPr>
          <w:color w:val="000000"/>
          <w:sz w:val="23"/>
          <w:szCs w:val="23"/>
        </w:rPr>
        <w:t xml:space="preserve"> To be in compliance with this directive, the following criteria have been established:</w:t>
      </w:r>
    </w:p>
    <w:p w:rsidR="004E1483" w:rsidRDefault="004E1483" w:rsidP="004E1483">
      <w:pPr>
        <w:tabs>
          <w:tab w:val="left" w:pos="1440"/>
        </w:tabs>
        <w:ind w:left="720" w:right="810"/>
        <w:jc w:val="both"/>
        <w:rPr>
          <w:color w:val="000000"/>
          <w:sz w:val="23"/>
          <w:szCs w:val="23"/>
        </w:rPr>
      </w:pPr>
    </w:p>
    <w:p w:rsidR="004E1483" w:rsidRDefault="00F2321C" w:rsidP="004E1483">
      <w:pPr>
        <w:pStyle w:val="ListParagraph"/>
        <w:numPr>
          <w:ilvl w:val="0"/>
          <w:numId w:val="6"/>
        </w:numPr>
        <w:tabs>
          <w:tab w:val="left" w:pos="1440"/>
        </w:tabs>
        <w:ind w:left="1980" w:right="810" w:hanging="630"/>
        <w:jc w:val="both"/>
        <w:rPr>
          <w:color w:val="000000"/>
          <w:sz w:val="23"/>
          <w:szCs w:val="23"/>
          <w:u w:val="single"/>
        </w:rPr>
      </w:pPr>
      <w:r w:rsidRPr="00CE7D04">
        <w:rPr>
          <w:color w:val="000000"/>
          <w:sz w:val="23"/>
          <w:szCs w:val="23"/>
          <w:u w:val="single"/>
        </w:rPr>
        <w:t>The following criteria have been established as sufficient information to satisfy the OGCD that a well is not in contact or communication with the crystalline basement rock:</w:t>
      </w:r>
    </w:p>
    <w:p w:rsidR="004E1483" w:rsidRDefault="00F2321C" w:rsidP="004E1483">
      <w:pPr>
        <w:pStyle w:val="ListParagraph"/>
        <w:numPr>
          <w:ilvl w:val="0"/>
          <w:numId w:val="3"/>
        </w:numPr>
        <w:tabs>
          <w:tab w:val="left" w:pos="1440"/>
        </w:tabs>
        <w:ind w:left="2430" w:right="810" w:hanging="450"/>
        <w:jc w:val="both"/>
        <w:rPr>
          <w:color w:val="000000"/>
          <w:sz w:val="23"/>
          <w:szCs w:val="23"/>
        </w:rPr>
      </w:pPr>
      <w:r w:rsidRPr="00E128D4">
        <w:rPr>
          <w:color w:val="000000"/>
          <w:sz w:val="23"/>
          <w:szCs w:val="23"/>
        </w:rPr>
        <w:t>Driller’s logs, gamma ray logs, and formation evaluation logs</w:t>
      </w:r>
      <w:r w:rsidR="00717BDD">
        <w:rPr>
          <w:color w:val="000000"/>
          <w:sz w:val="23"/>
          <w:szCs w:val="23"/>
        </w:rPr>
        <w:t>,</w:t>
      </w:r>
      <w:r w:rsidR="00027E1F">
        <w:rPr>
          <w:color w:val="000000"/>
          <w:sz w:val="23"/>
          <w:szCs w:val="23"/>
        </w:rPr>
        <w:t xml:space="preserve"> to total depth</w:t>
      </w:r>
      <w:r w:rsidRPr="00E128D4">
        <w:rPr>
          <w:color w:val="000000"/>
          <w:sz w:val="23"/>
          <w:szCs w:val="23"/>
        </w:rPr>
        <w:t xml:space="preserve">. </w:t>
      </w:r>
    </w:p>
    <w:p w:rsidR="004E1483" w:rsidRDefault="00F2321C" w:rsidP="004E1483">
      <w:pPr>
        <w:pStyle w:val="ListParagraph"/>
        <w:numPr>
          <w:ilvl w:val="0"/>
          <w:numId w:val="3"/>
        </w:numPr>
        <w:tabs>
          <w:tab w:val="left" w:pos="1440"/>
        </w:tabs>
        <w:ind w:left="2430" w:right="810" w:hanging="450"/>
        <w:jc w:val="both"/>
        <w:rPr>
          <w:color w:val="000000"/>
          <w:sz w:val="23"/>
          <w:szCs w:val="23"/>
        </w:rPr>
      </w:pPr>
      <w:r w:rsidRPr="00E128D4">
        <w:rPr>
          <w:color w:val="000000"/>
          <w:sz w:val="23"/>
          <w:szCs w:val="23"/>
        </w:rPr>
        <w:t>If logs need to be run, a gamma ray log to total depth will be acceptable.</w:t>
      </w:r>
    </w:p>
    <w:p w:rsidR="004E1483" w:rsidRDefault="00F2321C" w:rsidP="004E1483">
      <w:pPr>
        <w:pStyle w:val="ListParagraph"/>
        <w:numPr>
          <w:ilvl w:val="0"/>
          <w:numId w:val="3"/>
        </w:numPr>
        <w:tabs>
          <w:tab w:val="left" w:pos="1440"/>
        </w:tabs>
        <w:ind w:left="2430" w:right="810" w:hanging="450"/>
        <w:jc w:val="both"/>
        <w:rPr>
          <w:color w:val="000000"/>
          <w:sz w:val="23"/>
          <w:szCs w:val="23"/>
        </w:rPr>
      </w:pPr>
      <w:r w:rsidRPr="00E128D4">
        <w:rPr>
          <w:color w:val="000000"/>
          <w:sz w:val="23"/>
          <w:szCs w:val="23"/>
        </w:rPr>
        <w:t xml:space="preserve">Additional evaluation processes are possible, but must be approved by OGCD. </w:t>
      </w:r>
    </w:p>
    <w:p w:rsidR="004E1483" w:rsidRDefault="00C25279" w:rsidP="004E1483">
      <w:pPr>
        <w:ind w:left="720" w:right="810"/>
        <w:rPr>
          <w:color w:val="000000"/>
          <w:sz w:val="23"/>
          <w:szCs w:val="23"/>
        </w:rPr>
      </w:pPr>
      <w:r>
        <w:rPr>
          <w:color w:val="000000"/>
          <w:sz w:val="23"/>
          <w:szCs w:val="23"/>
        </w:rPr>
        <w:br w:type="page"/>
      </w:r>
    </w:p>
    <w:p w:rsidR="004E1483" w:rsidRDefault="004E1483" w:rsidP="004E1483">
      <w:pPr>
        <w:tabs>
          <w:tab w:val="left" w:pos="1440"/>
        </w:tabs>
        <w:ind w:left="720" w:right="810"/>
        <w:jc w:val="both"/>
        <w:rPr>
          <w:color w:val="000000"/>
          <w:sz w:val="23"/>
          <w:szCs w:val="23"/>
        </w:rPr>
      </w:pPr>
    </w:p>
    <w:p w:rsidR="004E1483" w:rsidRDefault="004E1483" w:rsidP="004E1483">
      <w:pPr>
        <w:tabs>
          <w:tab w:val="left" w:pos="1440"/>
        </w:tabs>
        <w:ind w:left="720" w:right="810"/>
        <w:jc w:val="both"/>
        <w:rPr>
          <w:color w:val="000000"/>
          <w:sz w:val="23"/>
          <w:szCs w:val="23"/>
        </w:rPr>
      </w:pPr>
    </w:p>
    <w:p w:rsidR="004E1483" w:rsidRDefault="00835898" w:rsidP="004E1483">
      <w:pPr>
        <w:tabs>
          <w:tab w:val="left" w:pos="1440"/>
        </w:tabs>
        <w:ind w:left="720" w:right="810"/>
        <w:jc w:val="both"/>
        <w:rPr>
          <w:sz w:val="23"/>
          <w:szCs w:val="23"/>
        </w:rPr>
      </w:pPr>
      <w:r w:rsidRPr="00B55534">
        <w:rPr>
          <w:sz w:val="23"/>
          <w:szCs w:val="23"/>
        </w:rPr>
        <w:t>Page 2</w:t>
      </w:r>
    </w:p>
    <w:p w:rsidR="004E1483" w:rsidRDefault="00B077DC" w:rsidP="004E1483">
      <w:pPr>
        <w:tabs>
          <w:tab w:val="left" w:pos="1440"/>
        </w:tabs>
        <w:ind w:left="720" w:right="810"/>
        <w:jc w:val="both"/>
        <w:rPr>
          <w:color w:val="000000"/>
          <w:sz w:val="23"/>
          <w:szCs w:val="23"/>
        </w:rPr>
      </w:pPr>
      <w:r>
        <w:rPr>
          <w:sz w:val="23"/>
          <w:szCs w:val="23"/>
        </w:rPr>
        <w:t>July 14, 2015</w:t>
      </w:r>
    </w:p>
    <w:p w:rsidR="004E1483" w:rsidRDefault="004E1483" w:rsidP="004E1483">
      <w:pPr>
        <w:tabs>
          <w:tab w:val="left" w:pos="1440"/>
        </w:tabs>
        <w:ind w:left="720" w:right="810"/>
        <w:jc w:val="both"/>
        <w:rPr>
          <w:color w:val="000000"/>
          <w:sz w:val="23"/>
          <w:szCs w:val="23"/>
        </w:rPr>
      </w:pPr>
    </w:p>
    <w:p w:rsidR="004E1483" w:rsidRDefault="004E1483" w:rsidP="004E1483">
      <w:pPr>
        <w:tabs>
          <w:tab w:val="left" w:pos="1440"/>
        </w:tabs>
        <w:ind w:left="720" w:right="810"/>
        <w:jc w:val="both"/>
        <w:rPr>
          <w:color w:val="000000"/>
          <w:sz w:val="23"/>
          <w:szCs w:val="23"/>
        </w:rPr>
      </w:pPr>
    </w:p>
    <w:p w:rsidR="004E1483" w:rsidRDefault="004E1483" w:rsidP="004E1483">
      <w:pPr>
        <w:tabs>
          <w:tab w:val="left" w:pos="1440"/>
        </w:tabs>
        <w:ind w:left="720" w:right="810"/>
        <w:jc w:val="both"/>
        <w:rPr>
          <w:color w:val="000000"/>
          <w:sz w:val="23"/>
          <w:szCs w:val="23"/>
        </w:rPr>
      </w:pPr>
    </w:p>
    <w:p w:rsidR="004E1483" w:rsidRDefault="00F2321C" w:rsidP="004E1483">
      <w:pPr>
        <w:pStyle w:val="ListParagraph"/>
        <w:numPr>
          <w:ilvl w:val="0"/>
          <w:numId w:val="6"/>
        </w:numPr>
        <w:tabs>
          <w:tab w:val="left" w:pos="1440"/>
        </w:tabs>
        <w:ind w:left="1980" w:right="810" w:hanging="630"/>
        <w:jc w:val="both"/>
        <w:rPr>
          <w:color w:val="000000"/>
          <w:sz w:val="23"/>
          <w:szCs w:val="23"/>
          <w:u w:val="single"/>
        </w:rPr>
      </w:pPr>
      <w:r w:rsidRPr="00CE7D04">
        <w:rPr>
          <w:color w:val="000000"/>
          <w:sz w:val="23"/>
          <w:szCs w:val="23"/>
          <w:u w:val="single"/>
        </w:rPr>
        <w:t>The following criteria has been established for wells that will be required to plug back:</w:t>
      </w:r>
    </w:p>
    <w:p w:rsidR="004E1483" w:rsidRDefault="00F2321C" w:rsidP="004E1483">
      <w:pPr>
        <w:pStyle w:val="ListParagraph"/>
        <w:numPr>
          <w:ilvl w:val="0"/>
          <w:numId w:val="4"/>
        </w:numPr>
        <w:tabs>
          <w:tab w:val="left" w:pos="1440"/>
        </w:tabs>
        <w:ind w:left="2430" w:right="810" w:hanging="450"/>
        <w:jc w:val="both"/>
        <w:rPr>
          <w:color w:val="000000"/>
          <w:sz w:val="23"/>
          <w:szCs w:val="23"/>
        </w:rPr>
      </w:pPr>
      <w:r w:rsidRPr="00E128D4">
        <w:rPr>
          <w:color w:val="000000"/>
          <w:sz w:val="23"/>
          <w:szCs w:val="23"/>
        </w:rPr>
        <w:t xml:space="preserve">Plug back procedures and a plugging schedule must be approved by the </w:t>
      </w:r>
      <w:r>
        <w:rPr>
          <w:color w:val="000000"/>
          <w:sz w:val="23"/>
          <w:szCs w:val="23"/>
        </w:rPr>
        <w:t>OGCD.</w:t>
      </w:r>
    </w:p>
    <w:p w:rsidR="004E1483" w:rsidRDefault="00F2321C" w:rsidP="004E1483">
      <w:pPr>
        <w:pStyle w:val="ListParagraph"/>
        <w:numPr>
          <w:ilvl w:val="1"/>
          <w:numId w:val="4"/>
        </w:numPr>
        <w:tabs>
          <w:tab w:val="left" w:pos="1440"/>
        </w:tabs>
        <w:ind w:left="2880" w:right="810" w:hanging="450"/>
        <w:jc w:val="both"/>
        <w:rPr>
          <w:color w:val="000000"/>
          <w:sz w:val="23"/>
          <w:szCs w:val="23"/>
        </w:rPr>
      </w:pPr>
      <w:r w:rsidRPr="00E128D4">
        <w:rPr>
          <w:color w:val="000000"/>
          <w:sz w:val="23"/>
          <w:szCs w:val="23"/>
        </w:rPr>
        <w:t xml:space="preserve">A well is not allowed to dispose an amount that exceeds the actual annual average total </w:t>
      </w:r>
      <w:r>
        <w:rPr>
          <w:color w:val="000000"/>
          <w:sz w:val="23"/>
          <w:szCs w:val="23"/>
        </w:rPr>
        <w:t xml:space="preserve">disposal </w:t>
      </w:r>
      <w:r w:rsidRPr="00E128D4">
        <w:rPr>
          <w:color w:val="000000"/>
          <w:sz w:val="23"/>
          <w:szCs w:val="23"/>
        </w:rPr>
        <w:t xml:space="preserve">volume while an approved plugging schedule is in effect. </w:t>
      </w:r>
    </w:p>
    <w:p w:rsidR="004E1483" w:rsidRDefault="00F2321C" w:rsidP="004E1483">
      <w:pPr>
        <w:pStyle w:val="ListParagraph"/>
        <w:numPr>
          <w:ilvl w:val="0"/>
          <w:numId w:val="4"/>
        </w:numPr>
        <w:tabs>
          <w:tab w:val="left" w:pos="1440"/>
        </w:tabs>
        <w:ind w:left="2430" w:right="810" w:hanging="450"/>
        <w:jc w:val="both"/>
        <w:rPr>
          <w:color w:val="000000"/>
          <w:sz w:val="23"/>
          <w:szCs w:val="23"/>
        </w:rPr>
      </w:pPr>
      <w:r w:rsidRPr="00E128D4">
        <w:rPr>
          <w:color w:val="000000"/>
          <w:sz w:val="23"/>
          <w:szCs w:val="23"/>
        </w:rPr>
        <w:t xml:space="preserve">The appropriate OGCD District Office must be contacted </w:t>
      </w:r>
      <w:r>
        <w:rPr>
          <w:color w:val="000000"/>
          <w:sz w:val="23"/>
          <w:szCs w:val="23"/>
        </w:rPr>
        <w:t>t</w:t>
      </w:r>
      <w:r w:rsidRPr="00E128D4">
        <w:rPr>
          <w:color w:val="000000"/>
          <w:sz w:val="23"/>
          <w:szCs w:val="23"/>
        </w:rPr>
        <w:t>o</w:t>
      </w:r>
      <w:r>
        <w:rPr>
          <w:color w:val="000000"/>
          <w:sz w:val="23"/>
          <w:szCs w:val="23"/>
        </w:rPr>
        <w:t xml:space="preserve"> allow</w:t>
      </w:r>
      <w:r w:rsidRPr="00E128D4">
        <w:rPr>
          <w:color w:val="000000"/>
          <w:sz w:val="23"/>
          <w:szCs w:val="23"/>
        </w:rPr>
        <w:t xml:space="preserve"> a field inspector </w:t>
      </w:r>
      <w:r w:rsidR="00E82C59">
        <w:rPr>
          <w:color w:val="000000"/>
          <w:sz w:val="23"/>
          <w:szCs w:val="23"/>
        </w:rPr>
        <w:t xml:space="preserve">to </w:t>
      </w:r>
      <w:r w:rsidRPr="00E128D4">
        <w:rPr>
          <w:color w:val="000000"/>
          <w:sz w:val="23"/>
          <w:szCs w:val="23"/>
        </w:rPr>
        <w:t xml:space="preserve">witness the </w:t>
      </w:r>
      <w:r>
        <w:rPr>
          <w:color w:val="000000"/>
          <w:sz w:val="23"/>
          <w:szCs w:val="23"/>
        </w:rPr>
        <w:t xml:space="preserve">plug back </w:t>
      </w:r>
      <w:r w:rsidRPr="00E128D4">
        <w:rPr>
          <w:color w:val="000000"/>
          <w:sz w:val="23"/>
          <w:szCs w:val="23"/>
        </w:rPr>
        <w:t>procedures.</w:t>
      </w:r>
    </w:p>
    <w:p w:rsidR="004E1483" w:rsidRDefault="00F2321C" w:rsidP="004E1483">
      <w:pPr>
        <w:pStyle w:val="ListParagraph"/>
        <w:numPr>
          <w:ilvl w:val="0"/>
          <w:numId w:val="4"/>
        </w:numPr>
        <w:tabs>
          <w:tab w:val="left" w:pos="1440"/>
        </w:tabs>
        <w:ind w:left="2430" w:right="810" w:hanging="450"/>
        <w:jc w:val="both"/>
        <w:rPr>
          <w:color w:val="000000"/>
          <w:sz w:val="23"/>
          <w:szCs w:val="23"/>
        </w:rPr>
      </w:pPr>
      <w:r w:rsidRPr="00E128D4">
        <w:rPr>
          <w:color w:val="000000"/>
          <w:sz w:val="23"/>
          <w:szCs w:val="23"/>
        </w:rPr>
        <w:t xml:space="preserve">Before and after plug back, a measurement consisting of a static water level within the well measured by four (4) similar fluid level shots at 15 minute intervals must be taken.  </w:t>
      </w:r>
    </w:p>
    <w:p w:rsidR="004E1483" w:rsidRDefault="008E2A6F" w:rsidP="004E1483">
      <w:pPr>
        <w:pStyle w:val="ListParagraph"/>
        <w:numPr>
          <w:ilvl w:val="0"/>
          <w:numId w:val="4"/>
        </w:numPr>
        <w:tabs>
          <w:tab w:val="left" w:pos="1440"/>
        </w:tabs>
        <w:ind w:left="2430" w:right="810" w:hanging="450"/>
        <w:jc w:val="both"/>
        <w:rPr>
          <w:color w:val="000000"/>
          <w:sz w:val="23"/>
          <w:szCs w:val="23"/>
        </w:rPr>
      </w:pPr>
      <w:r>
        <w:rPr>
          <w:color w:val="000000"/>
          <w:sz w:val="23"/>
          <w:szCs w:val="23"/>
        </w:rPr>
        <w:t>After plugging operations are completed, the d</w:t>
      </w:r>
      <w:r w:rsidR="00F2321C" w:rsidRPr="00E128D4">
        <w:rPr>
          <w:color w:val="000000"/>
          <w:sz w:val="23"/>
          <w:szCs w:val="23"/>
        </w:rPr>
        <w:t>aily reports must be submitted to and approved by OGCD to obtain final approval.</w:t>
      </w:r>
    </w:p>
    <w:p w:rsidR="004E1483" w:rsidRDefault="00717BDD" w:rsidP="004E1483">
      <w:pPr>
        <w:pStyle w:val="ListParagraph"/>
        <w:numPr>
          <w:ilvl w:val="0"/>
          <w:numId w:val="4"/>
        </w:numPr>
        <w:tabs>
          <w:tab w:val="left" w:pos="1440"/>
        </w:tabs>
        <w:ind w:left="2430" w:right="810" w:hanging="450"/>
        <w:jc w:val="both"/>
        <w:rPr>
          <w:color w:val="000000"/>
          <w:sz w:val="23"/>
          <w:szCs w:val="23"/>
        </w:rPr>
      </w:pPr>
      <w:r>
        <w:rPr>
          <w:color w:val="000000"/>
          <w:sz w:val="23"/>
          <w:szCs w:val="23"/>
        </w:rPr>
        <w:t>An Updated 1002A Completion Report</w:t>
      </w:r>
      <w:r w:rsidR="006C47A4">
        <w:rPr>
          <w:color w:val="000000"/>
          <w:sz w:val="23"/>
          <w:szCs w:val="23"/>
        </w:rPr>
        <w:t xml:space="preserve"> must be filed with the OCC.</w:t>
      </w:r>
    </w:p>
    <w:p w:rsidR="004E1483" w:rsidRPr="004E1483" w:rsidRDefault="004E1483" w:rsidP="004E1483">
      <w:pPr>
        <w:pStyle w:val="ListParagraph"/>
        <w:numPr>
          <w:ilvl w:val="0"/>
          <w:numId w:val="4"/>
        </w:numPr>
        <w:tabs>
          <w:tab w:val="left" w:pos="1440"/>
        </w:tabs>
        <w:ind w:left="2430" w:right="810" w:hanging="450"/>
        <w:jc w:val="both"/>
        <w:rPr>
          <w:color w:val="000000"/>
          <w:sz w:val="23"/>
          <w:szCs w:val="23"/>
        </w:rPr>
      </w:pPr>
      <w:r w:rsidRPr="004E1483">
        <w:rPr>
          <w:color w:val="000000"/>
          <w:sz w:val="23"/>
          <w:szCs w:val="23"/>
        </w:rPr>
        <w:t>Guidelines for plugging back are as follows:</w:t>
      </w:r>
    </w:p>
    <w:p w:rsidR="004E1483" w:rsidRPr="004E1483" w:rsidRDefault="004E1483" w:rsidP="004E1483">
      <w:pPr>
        <w:pStyle w:val="ListParagraph"/>
        <w:numPr>
          <w:ilvl w:val="1"/>
          <w:numId w:val="4"/>
        </w:numPr>
        <w:tabs>
          <w:tab w:val="left" w:pos="1440"/>
        </w:tabs>
        <w:ind w:right="810"/>
        <w:jc w:val="both"/>
        <w:rPr>
          <w:color w:val="000000"/>
          <w:sz w:val="23"/>
          <w:szCs w:val="23"/>
        </w:rPr>
      </w:pPr>
      <w:r w:rsidRPr="004E1483">
        <w:rPr>
          <w:color w:val="000000"/>
          <w:sz w:val="23"/>
          <w:szCs w:val="23"/>
        </w:rPr>
        <w:t>The Operator can fill the granite – granite wash – Reagan Sand portion of the hole with bailed rock, but the Arbuckle section must have cement. </w:t>
      </w:r>
    </w:p>
    <w:p w:rsidR="004E1483" w:rsidRPr="004E1483" w:rsidRDefault="004E1483" w:rsidP="004E1483">
      <w:pPr>
        <w:pStyle w:val="ListParagraph"/>
        <w:numPr>
          <w:ilvl w:val="1"/>
          <w:numId w:val="4"/>
        </w:numPr>
        <w:tabs>
          <w:tab w:val="left" w:pos="1440"/>
        </w:tabs>
        <w:ind w:right="810"/>
        <w:jc w:val="both"/>
        <w:rPr>
          <w:color w:val="000000"/>
          <w:sz w:val="23"/>
          <w:szCs w:val="23"/>
        </w:rPr>
      </w:pPr>
      <w:r w:rsidRPr="004E1483">
        <w:rPr>
          <w:color w:val="000000"/>
          <w:sz w:val="23"/>
          <w:szCs w:val="23"/>
        </w:rPr>
        <w:t>If the well has fill in the Arbuckle section, the cement must be both a minimum of 25’ thick AND a minimum of 100’ above the base of the Arbuckle.</w:t>
      </w:r>
    </w:p>
    <w:p w:rsidR="004E1483" w:rsidRPr="004E1483" w:rsidRDefault="004E1483" w:rsidP="004E1483">
      <w:pPr>
        <w:pStyle w:val="ListParagraph"/>
        <w:numPr>
          <w:ilvl w:val="2"/>
          <w:numId w:val="4"/>
        </w:numPr>
        <w:tabs>
          <w:tab w:val="left" w:pos="1440"/>
        </w:tabs>
        <w:ind w:right="810"/>
        <w:jc w:val="both"/>
        <w:rPr>
          <w:color w:val="000000"/>
          <w:sz w:val="23"/>
          <w:szCs w:val="23"/>
        </w:rPr>
      </w:pPr>
      <w:r w:rsidRPr="004E1483">
        <w:rPr>
          <w:color w:val="000000"/>
          <w:sz w:val="23"/>
          <w:szCs w:val="23"/>
        </w:rPr>
        <w:t>Example 1: Well X has fill to 50’ above the base of the Arbuckle then they will be required to set a 50’ cement plug.</w:t>
      </w:r>
    </w:p>
    <w:p w:rsidR="004E1483" w:rsidRPr="004E1483" w:rsidRDefault="004E1483" w:rsidP="004E1483">
      <w:pPr>
        <w:pStyle w:val="ListParagraph"/>
        <w:numPr>
          <w:ilvl w:val="2"/>
          <w:numId w:val="4"/>
        </w:numPr>
        <w:tabs>
          <w:tab w:val="left" w:pos="1440"/>
        </w:tabs>
        <w:ind w:right="810"/>
        <w:jc w:val="both"/>
        <w:rPr>
          <w:color w:val="000000"/>
          <w:sz w:val="23"/>
          <w:szCs w:val="23"/>
        </w:rPr>
      </w:pPr>
      <w:r w:rsidRPr="004E1483">
        <w:rPr>
          <w:color w:val="000000"/>
          <w:sz w:val="23"/>
          <w:szCs w:val="23"/>
        </w:rPr>
        <w:t>Example 2: Well Y has fill to 150’ above the base of the Arbuckle then they will need to set a minimum 25’ cement plug.</w:t>
      </w:r>
    </w:p>
    <w:p w:rsidR="004E1483" w:rsidRPr="004E1483" w:rsidRDefault="004E1483" w:rsidP="004E1483">
      <w:pPr>
        <w:pStyle w:val="ListParagraph"/>
        <w:tabs>
          <w:tab w:val="left" w:pos="1440"/>
        </w:tabs>
        <w:ind w:left="2430" w:right="810"/>
        <w:jc w:val="both"/>
        <w:rPr>
          <w:color w:val="000000"/>
          <w:sz w:val="23"/>
          <w:szCs w:val="23"/>
        </w:rPr>
      </w:pPr>
    </w:p>
    <w:p w:rsidR="004E1483" w:rsidRDefault="004E1483" w:rsidP="004E1483">
      <w:pPr>
        <w:tabs>
          <w:tab w:val="left" w:pos="1440"/>
        </w:tabs>
        <w:ind w:left="720" w:right="810"/>
        <w:jc w:val="both"/>
        <w:rPr>
          <w:sz w:val="24"/>
          <w:szCs w:val="24"/>
        </w:rPr>
      </w:pPr>
    </w:p>
    <w:p w:rsidR="004E1483" w:rsidRDefault="001B5EAB" w:rsidP="004E1483">
      <w:pPr>
        <w:tabs>
          <w:tab w:val="left" w:pos="1440"/>
        </w:tabs>
        <w:ind w:left="720" w:right="810"/>
        <w:jc w:val="both"/>
        <w:rPr>
          <w:color w:val="FF0000"/>
          <w:sz w:val="23"/>
          <w:szCs w:val="23"/>
        </w:rPr>
      </w:pPr>
      <w:r w:rsidRPr="00E128D4">
        <w:rPr>
          <w:color w:val="000000"/>
          <w:sz w:val="23"/>
          <w:szCs w:val="23"/>
        </w:rPr>
        <w:t xml:space="preserve">Operators will have </w:t>
      </w:r>
      <w:r w:rsidR="00027E1F">
        <w:rPr>
          <w:color w:val="000000"/>
          <w:sz w:val="23"/>
          <w:szCs w:val="23"/>
        </w:rPr>
        <w:t>thirty (30) days from the date of this letter</w:t>
      </w:r>
      <w:r w:rsidRPr="00E128D4">
        <w:rPr>
          <w:color w:val="000000"/>
          <w:sz w:val="23"/>
          <w:szCs w:val="23"/>
        </w:rPr>
        <w:t xml:space="preserve"> to satisfy </w:t>
      </w:r>
      <w:r w:rsidR="00F2321C" w:rsidRPr="00F2321C">
        <w:rPr>
          <w:sz w:val="23"/>
          <w:szCs w:val="23"/>
        </w:rPr>
        <w:t>the</w:t>
      </w:r>
      <w:r w:rsidRPr="00F2321C">
        <w:rPr>
          <w:sz w:val="23"/>
          <w:szCs w:val="23"/>
        </w:rPr>
        <w:t xml:space="preserve"> </w:t>
      </w:r>
      <w:r w:rsidR="00F2321C">
        <w:rPr>
          <w:color w:val="000000"/>
          <w:sz w:val="23"/>
          <w:szCs w:val="23"/>
        </w:rPr>
        <w:t xml:space="preserve">criteria set forth above.  </w:t>
      </w:r>
      <w:r w:rsidRPr="00E128D4">
        <w:rPr>
          <w:color w:val="000000"/>
          <w:sz w:val="23"/>
          <w:szCs w:val="23"/>
        </w:rPr>
        <w:t xml:space="preserve">All wells </w:t>
      </w:r>
      <w:r w:rsidR="00B25DEE">
        <w:rPr>
          <w:color w:val="000000"/>
          <w:sz w:val="23"/>
          <w:szCs w:val="23"/>
        </w:rPr>
        <w:t>disposing of</w:t>
      </w:r>
      <w:r w:rsidR="00F2321C">
        <w:rPr>
          <w:color w:val="000000"/>
          <w:sz w:val="23"/>
          <w:szCs w:val="23"/>
        </w:rPr>
        <w:t xml:space="preserve"> </w:t>
      </w:r>
      <w:r w:rsidR="00CC08A1">
        <w:rPr>
          <w:color w:val="000000"/>
          <w:sz w:val="23"/>
          <w:szCs w:val="23"/>
        </w:rPr>
        <w:t>1</w:t>
      </w:r>
      <w:r w:rsidR="00F2321C">
        <w:rPr>
          <w:color w:val="000000"/>
          <w:sz w:val="23"/>
          <w:szCs w:val="23"/>
        </w:rPr>
        <w:t>,000 bbls per day</w:t>
      </w:r>
      <w:r w:rsidR="00A94865">
        <w:rPr>
          <w:color w:val="000000"/>
          <w:sz w:val="23"/>
          <w:szCs w:val="23"/>
        </w:rPr>
        <w:t xml:space="preserve"> or less will be </w:t>
      </w:r>
      <w:r w:rsidR="00B25DEE">
        <w:rPr>
          <w:color w:val="000000"/>
          <w:sz w:val="23"/>
          <w:szCs w:val="23"/>
        </w:rPr>
        <w:t>assessed</w:t>
      </w:r>
      <w:r w:rsidR="009F7DFC">
        <w:rPr>
          <w:color w:val="000000"/>
          <w:sz w:val="23"/>
          <w:szCs w:val="23"/>
        </w:rPr>
        <w:t xml:space="preserve"> at a later date </w:t>
      </w:r>
      <w:r w:rsidR="00861909">
        <w:rPr>
          <w:color w:val="000000"/>
          <w:sz w:val="23"/>
          <w:szCs w:val="23"/>
        </w:rPr>
        <w:t xml:space="preserve">and will be given </w:t>
      </w:r>
      <w:r w:rsidR="00A94865">
        <w:rPr>
          <w:color w:val="000000"/>
          <w:sz w:val="23"/>
          <w:szCs w:val="23"/>
        </w:rPr>
        <w:t>additional time to comply</w:t>
      </w:r>
      <w:r w:rsidR="00F2321C">
        <w:rPr>
          <w:color w:val="000000"/>
          <w:sz w:val="23"/>
          <w:szCs w:val="23"/>
        </w:rPr>
        <w:t>.</w:t>
      </w:r>
      <w:r w:rsidR="00A94865">
        <w:rPr>
          <w:color w:val="000000"/>
          <w:sz w:val="23"/>
          <w:szCs w:val="23"/>
        </w:rPr>
        <w:t xml:space="preserve"> </w:t>
      </w:r>
      <w:r w:rsidR="00FA66EE">
        <w:rPr>
          <w:color w:val="000000"/>
          <w:sz w:val="23"/>
          <w:szCs w:val="23"/>
        </w:rPr>
        <w:t>However, they must begin reporting on a weekly basis.</w:t>
      </w:r>
      <w:r w:rsidR="00141CA1">
        <w:rPr>
          <w:color w:val="000000"/>
          <w:sz w:val="23"/>
          <w:szCs w:val="23"/>
        </w:rPr>
        <w:t xml:space="preserve">  </w:t>
      </w:r>
      <w:r w:rsidRPr="00E82C59">
        <w:rPr>
          <w:sz w:val="23"/>
          <w:szCs w:val="23"/>
        </w:rPr>
        <w:t xml:space="preserve">Once the OGCD has found the well(s) to be in compliance with this directive, normal operations will be allowed to resume.  </w:t>
      </w:r>
    </w:p>
    <w:p w:rsidR="004E1483" w:rsidRDefault="004E1483" w:rsidP="004E1483">
      <w:pPr>
        <w:pStyle w:val="ListParagraph"/>
        <w:tabs>
          <w:tab w:val="left" w:pos="1440"/>
        </w:tabs>
        <w:ind w:right="810"/>
        <w:jc w:val="both"/>
        <w:rPr>
          <w:sz w:val="23"/>
          <w:szCs w:val="23"/>
        </w:rPr>
      </w:pPr>
    </w:p>
    <w:p w:rsidR="004E1483" w:rsidRDefault="001B5EAB" w:rsidP="004E1483">
      <w:pPr>
        <w:tabs>
          <w:tab w:val="left" w:pos="1440"/>
        </w:tabs>
        <w:ind w:left="720" w:right="810" w:hanging="720"/>
        <w:rPr>
          <w:sz w:val="23"/>
          <w:szCs w:val="23"/>
        </w:rPr>
      </w:pPr>
      <w:r w:rsidRPr="00CE7110">
        <w:rPr>
          <w:sz w:val="23"/>
          <w:szCs w:val="23"/>
        </w:rPr>
        <w:t xml:space="preserve">           </w:t>
      </w:r>
      <w:r>
        <w:rPr>
          <w:sz w:val="23"/>
          <w:szCs w:val="23"/>
        </w:rPr>
        <w:t xml:space="preserve">  If you are not already doing so, within seven (7) days of receipt of this letter you must begin daily recording and weekly reporting to OGCD of the well volume(s) and pressure(s).  </w:t>
      </w:r>
      <w:r w:rsidR="00CC08A1">
        <w:rPr>
          <w:sz w:val="23"/>
          <w:szCs w:val="23"/>
        </w:rPr>
        <w:t xml:space="preserve">The new email address for reporting volumes is </w:t>
      </w:r>
      <w:hyperlink r:id="rId10" w:history="1">
        <w:r w:rsidR="00CC08A1" w:rsidRPr="00831267">
          <w:rPr>
            <w:rStyle w:val="Hyperlink"/>
            <w:sz w:val="23"/>
            <w:szCs w:val="23"/>
          </w:rPr>
          <w:t>ogvolumes@occemail.com</w:t>
        </w:r>
      </w:hyperlink>
      <w:r w:rsidR="00CC08A1">
        <w:rPr>
          <w:sz w:val="23"/>
          <w:szCs w:val="23"/>
        </w:rPr>
        <w:t xml:space="preserve">.  </w:t>
      </w:r>
      <w:r>
        <w:rPr>
          <w:sz w:val="23"/>
          <w:szCs w:val="23"/>
        </w:rPr>
        <w:t xml:space="preserve">Contact Charles Lord </w:t>
      </w:r>
      <w:r w:rsidR="00CC08A1">
        <w:rPr>
          <w:sz w:val="23"/>
          <w:szCs w:val="23"/>
        </w:rPr>
        <w:t>(</w:t>
      </w:r>
      <w:r>
        <w:rPr>
          <w:sz w:val="23"/>
          <w:szCs w:val="23"/>
        </w:rPr>
        <w:t xml:space="preserve">405-522-2751 or </w:t>
      </w:r>
      <w:hyperlink r:id="rId11" w:history="1">
        <w:r w:rsidRPr="00210295">
          <w:rPr>
            <w:rStyle w:val="Hyperlink"/>
            <w:sz w:val="23"/>
            <w:szCs w:val="23"/>
          </w:rPr>
          <w:t>c.lord@occemail.com</w:t>
        </w:r>
      </w:hyperlink>
      <w:r>
        <w:rPr>
          <w:sz w:val="23"/>
          <w:szCs w:val="23"/>
        </w:rPr>
        <w:t>) if you are not currently reporting, or if you have any other questions about th</w:t>
      </w:r>
      <w:r w:rsidR="00E82C59">
        <w:rPr>
          <w:sz w:val="23"/>
          <w:szCs w:val="23"/>
        </w:rPr>
        <w:t>ese</w:t>
      </w:r>
      <w:r>
        <w:rPr>
          <w:sz w:val="23"/>
          <w:szCs w:val="23"/>
        </w:rPr>
        <w:t xml:space="preserve"> directive</w:t>
      </w:r>
      <w:r w:rsidR="00E82C59">
        <w:rPr>
          <w:sz w:val="23"/>
          <w:szCs w:val="23"/>
        </w:rPr>
        <w:t>s</w:t>
      </w:r>
      <w:r>
        <w:rPr>
          <w:sz w:val="23"/>
          <w:szCs w:val="23"/>
        </w:rPr>
        <w:t xml:space="preserve">. </w:t>
      </w:r>
    </w:p>
    <w:p w:rsidR="004E1483" w:rsidRDefault="004E1483" w:rsidP="004E1483">
      <w:pPr>
        <w:tabs>
          <w:tab w:val="left" w:pos="1440"/>
        </w:tabs>
        <w:ind w:left="720" w:right="810" w:hanging="720"/>
        <w:jc w:val="both"/>
        <w:rPr>
          <w:sz w:val="23"/>
          <w:szCs w:val="23"/>
        </w:rPr>
      </w:pPr>
    </w:p>
    <w:p w:rsidR="004E1483" w:rsidRDefault="001B5EAB" w:rsidP="004E1483">
      <w:pPr>
        <w:tabs>
          <w:tab w:val="left" w:pos="1170"/>
        </w:tabs>
        <w:ind w:left="720" w:right="810"/>
        <w:jc w:val="both"/>
        <w:rPr>
          <w:sz w:val="23"/>
          <w:szCs w:val="23"/>
        </w:rPr>
      </w:pPr>
      <w:r>
        <w:rPr>
          <w:sz w:val="23"/>
          <w:szCs w:val="23"/>
        </w:rPr>
        <w:t xml:space="preserve">Thank you in advance for </w:t>
      </w:r>
      <w:r w:rsidR="00B25DEE">
        <w:rPr>
          <w:sz w:val="23"/>
          <w:szCs w:val="23"/>
        </w:rPr>
        <w:t>your cooperation</w:t>
      </w:r>
      <w:r>
        <w:rPr>
          <w:sz w:val="23"/>
          <w:szCs w:val="23"/>
        </w:rPr>
        <w:t xml:space="preserve"> and attention to the directives set forth in this letter.</w:t>
      </w:r>
    </w:p>
    <w:p w:rsidR="004E1483" w:rsidRDefault="004E1483" w:rsidP="004E1483">
      <w:pPr>
        <w:tabs>
          <w:tab w:val="left" w:pos="720"/>
          <w:tab w:val="left" w:pos="1440"/>
          <w:tab w:val="center" w:pos="6120"/>
          <w:tab w:val="right" w:pos="10980"/>
        </w:tabs>
        <w:ind w:left="720" w:right="810"/>
        <w:jc w:val="both"/>
        <w:rPr>
          <w:sz w:val="23"/>
          <w:szCs w:val="23"/>
        </w:rPr>
      </w:pPr>
    </w:p>
    <w:p w:rsidR="004E1483" w:rsidRDefault="004E1483" w:rsidP="004E1483">
      <w:pPr>
        <w:tabs>
          <w:tab w:val="left" w:pos="720"/>
          <w:tab w:val="left" w:pos="1440"/>
          <w:tab w:val="center" w:pos="6120"/>
          <w:tab w:val="right" w:pos="10980"/>
        </w:tabs>
        <w:ind w:left="720" w:right="810"/>
        <w:jc w:val="both"/>
        <w:rPr>
          <w:sz w:val="23"/>
          <w:szCs w:val="23"/>
        </w:rPr>
      </w:pPr>
    </w:p>
    <w:p w:rsidR="004E1483" w:rsidRDefault="001B5EAB" w:rsidP="004E1483">
      <w:pPr>
        <w:tabs>
          <w:tab w:val="left" w:pos="720"/>
          <w:tab w:val="left" w:pos="1440"/>
          <w:tab w:val="center" w:pos="6120"/>
          <w:tab w:val="right" w:pos="10980"/>
        </w:tabs>
        <w:ind w:left="720" w:right="810"/>
        <w:jc w:val="both"/>
        <w:rPr>
          <w:sz w:val="23"/>
          <w:szCs w:val="23"/>
        </w:rPr>
      </w:pPr>
      <w:r w:rsidRPr="00CE7110">
        <w:rPr>
          <w:sz w:val="23"/>
          <w:szCs w:val="23"/>
        </w:rPr>
        <w:t>Sincerely,</w:t>
      </w:r>
    </w:p>
    <w:p w:rsidR="004E1483" w:rsidRDefault="004E1483" w:rsidP="004E1483">
      <w:pPr>
        <w:tabs>
          <w:tab w:val="left" w:pos="720"/>
          <w:tab w:val="left" w:pos="1440"/>
          <w:tab w:val="center" w:pos="6120"/>
          <w:tab w:val="right" w:pos="10980"/>
        </w:tabs>
        <w:ind w:left="720" w:right="810"/>
        <w:jc w:val="both"/>
        <w:rPr>
          <w:sz w:val="23"/>
          <w:szCs w:val="23"/>
        </w:rPr>
      </w:pPr>
    </w:p>
    <w:p w:rsidR="004E1483" w:rsidRDefault="008014F9" w:rsidP="004E1483">
      <w:pPr>
        <w:tabs>
          <w:tab w:val="left" w:pos="720"/>
          <w:tab w:val="left" w:pos="1440"/>
          <w:tab w:val="center" w:pos="6120"/>
          <w:tab w:val="right" w:pos="10980"/>
        </w:tabs>
        <w:ind w:left="720" w:right="810"/>
        <w:jc w:val="both"/>
        <w:rPr>
          <w:sz w:val="23"/>
          <w:szCs w:val="23"/>
        </w:rPr>
      </w:pPr>
      <w:r>
        <w:rPr>
          <w:noProof/>
          <w:sz w:val="23"/>
          <w:szCs w:val="23"/>
        </w:rPr>
        <w:drawing>
          <wp:inline distT="0" distB="0" distL="0" distR="0">
            <wp:extent cx="1981200" cy="600710"/>
            <wp:effectExtent l="19050" t="0" r="0" b="0"/>
            <wp:docPr id="2" name="Picture 1" descr="\\occ2\profiles$\G52\My Documents\Correspondance 2015\TIM BAKE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2\profiles$\G52\My Documents\Correspondance 2015\TIM BAKER SIGNATURE.jpg"/>
                    <pic:cNvPicPr>
                      <a:picLocks noChangeAspect="1" noChangeArrowheads="1"/>
                    </pic:cNvPicPr>
                  </pic:nvPicPr>
                  <pic:blipFill>
                    <a:blip r:embed="rId12" cstate="print"/>
                    <a:srcRect/>
                    <a:stretch>
                      <a:fillRect/>
                    </a:stretch>
                  </pic:blipFill>
                  <pic:spPr bwMode="auto">
                    <a:xfrm>
                      <a:off x="0" y="0"/>
                      <a:ext cx="1981200" cy="600710"/>
                    </a:xfrm>
                    <a:prstGeom prst="rect">
                      <a:avLst/>
                    </a:prstGeom>
                    <a:noFill/>
                    <a:ln w="9525">
                      <a:noFill/>
                      <a:miter lim="800000"/>
                      <a:headEnd/>
                      <a:tailEnd/>
                    </a:ln>
                  </pic:spPr>
                </pic:pic>
              </a:graphicData>
            </a:graphic>
          </wp:inline>
        </w:drawing>
      </w:r>
    </w:p>
    <w:p w:rsidR="004E1483" w:rsidRDefault="004E1483" w:rsidP="004E1483">
      <w:pPr>
        <w:tabs>
          <w:tab w:val="left" w:pos="720"/>
          <w:tab w:val="left" w:pos="1440"/>
          <w:tab w:val="center" w:pos="6120"/>
          <w:tab w:val="right" w:pos="10980"/>
        </w:tabs>
        <w:ind w:left="720" w:right="810"/>
        <w:jc w:val="both"/>
        <w:rPr>
          <w:sz w:val="23"/>
          <w:szCs w:val="23"/>
        </w:rPr>
      </w:pPr>
    </w:p>
    <w:p w:rsidR="004E1483" w:rsidRDefault="001B5EAB" w:rsidP="004E1483">
      <w:pPr>
        <w:tabs>
          <w:tab w:val="left" w:pos="720"/>
          <w:tab w:val="left" w:pos="1440"/>
          <w:tab w:val="center" w:pos="6120"/>
          <w:tab w:val="right" w:pos="10980"/>
        </w:tabs>
        <w:ind w:left="720" w:right="810"/>
        <w:jc w:val="both"/>
        <w:rPr>
          <w:sz w:val="23"/>
          <w:szCs w:val="23"/>
        </w:rPr>
      </w:pPr>
      <w:r w:rsidRPr="00CE7110">
        <w:rPr>
          <w:sz w:val="23"/>
          <w:szCs w:val="23"/>
        </w:rPr>
        <w:t>Tim Baker, Director</w:t>
      </w:r>
    </w:p>
    <w:p w:rsidR="004E1483" w:rsidRDefault="001B5EAB" w:rsidP="004E1483">
      <w:pPr>
        <w:tabs>
          <w:tab w:val="left" w:pos="720"/>
          <w:tab w:val="left" w:pos="1440"/>
          <w:tab w:val="center" w:pos="6120"/>
          <w:tab w:val="right" w:pos="10980"/>
        </w:tabs>
        <w:ind w:left="720" w:right="810"/>
        <w:jc w:val="both"/>
        <w:rPr>
          <w:sz w:val="23"/>
          <w:szCs w:val="23"/>
        </w:rPr>
      </w:pPr>
      <w:r w:rsidRPr="00CE7110">
        <w:rPr>
          <w:sz w:val="23"/>
          <w:szCs w:val="23"/>
        </w:rPr>
        <w:t>Oil and Gas Conservation Division</w:t>
      </w:r>
    </w:p>
    <w:p w:rsidR="004E1483" w:rsidRDefault="004E1483" w:rsidP="004E1483">
      <w:pPr>
        <w:tabs>
          <w:tab w:val="left" w:pos="720"/>
          <w:tab w:val="left" w:pos="1440"/>
          <w:tab w:val="center" w:pos="6120"/>
          <w:tab w:val="right" w:pos="10980"/>
        </w:tabs>
        <w:ind w:left="720" w:right="810"/>
        <w:jc w:val="both"/>
        <w:rPr>
          <w:sz w:val="23"/>
          <w:szCs w:val="23"/>
        </w:rPr>
      </w:pPr>
    </w:p>
    <w:p w:rsidR="004E1483" w:rsidRDefault="001B5EAB" w:rsidP="004E1483">
      <w:pPr>
        <w:tabs>
          <w:tab w:val="left" w:pos="1440"/>
        </w:tabs>
        <w:ind w:left="720" w:right="810"/>
        <w:jc w:val="both"/>
        <w:rPr>
          <w:sz w:val="23"/>
          <w:szCs w:val="23"/>
        </w:rPr>
      </w:pPr>
      <w:r>
        <w:rPr>
          <w:sz w:val="23"/>
          <w:szCs w:val="23"/>
        </w:rPr>
        <w:t xml:space="preserve">Enclosures: </w:t>
      </w:r>
      <w:r>
        <w:rPr>
          <w:sz w:val="23"/>
          <w:szCs w:val="23"/>
        </w:rPr>
        <w:tab/>
      </w:r>
      <w:r w:rsidR="003F59BA">
        <w:rPr>
          <w:sz w:val="23"/>
          <w:szCs w:val="23"/>
        </w:rPr>
        <w:t>Well List</w:t>
      </w:r>
    </w:p>
    <w:p w:rsidR="00D1038B" w:rsidRDefault="00D1038B">
      <w:pPr>
        <w:ind w:left="720" w:right="1260"/>
        <w:rPr>
          <w:szCs w:val="22"/>
        </w:rPr>
      </w:pPr>
    </w:p>
    <w:sectPr w:rsidR="00D1038B" w:rsidSect="009B28E4">
      <w:headerReference w:type="first" r:id="rId13"/>
      <w:footerReference w:type="first" r:id="rId14"/>
      <w:pgSz w:w="12240" w:h="15840" w:code="1"/>
      <w:pgMar w:top="360" w:right="360" w:bottom="360" w:left="360"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8F5" w:rsidRDefault="008B08F5">
      <w:r>
        <w:separator/>
      </w:r>
    </w:p>
  </w:endnote>
  <w:endnote w:type="continuationSeparator" w:id="0">
    <w:p w:rsidR="008B08F5" w:rsidRDefault="008B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29" w:rsidRDefault="00472129">
    <w:pPr>
      <w:pStyle w:val="Footer"/>
      <w:jc w:val="center"/>
      <w:rPr>
        <w:b/>
        <w:sz w:val="16"/>
      </w:rPr>
    </w:pPr>
  </w:p>
  <w:p w:rsidR="00472129" w:rsidRDefault="00472129">
    <w:pPr>
      <w:pStyle w:val="Footer"/>
      <w:jc w:val="center"/>
      <w:rPr>
        <w:rFonts w:ascii="Arial" w:hAnsi="Arial"/>
        <w:b/>
        <w:sz w:val="16"/>
      </w:rPr>
    </w:pPr>
    <w:r>
      <w:rPr>
        <w:rFonts w:ascii="Arial" w:hAnsi="Arial"/>
        <w:b/>
        <w:sz w:val="16"/>
      </w:rPr>
      <w:t xml:space="preserve">SERVICE </w:t>
    </w:r>
    <w:r>
      <w:rPr>
        <w:rFonts w:ascii="Arial" w:hAnsi="Arial"/>
        <w:b/>
        <w:sz w:val="16"/>
      </w:rPr>
      <w:sym w:font="Symbol" w:char="F0B7"/>
    </w:r>
    <w:r>
      <w:rPr>
        <w:rFonts w:ascii="Arial" w:hAnsi="Arial"/>
        <w:b/>
        <w:sz w:val="16"/>
      </w:rPr>
      <w:t xml:space="preserve"> ASSISTANCE </w:t>
    </w:r>
    <w:r>
      <w:rPr>
        <w:rFonts w:ascii="Arial" w:hAnsi="Arial"/>
        <w:b/>
        <w:sz w:val="16"/>
      </w:rPr>
      <w:sym w:font="Symbol" w:char="F0B7"/>
    </w:r>
    <w:r>
      <w:rPr>
        <w:rFonts w:ascii="Arial" w:hAnsi="Arial"/>
        <w:b/>
        <w:sz w:val="16"/>
      </w:rPr>
      <w:t xml:space="preserve"> COMPLIANCE</w:t>
    </w:r>
  </w:p>
  <w:p w:rsidR="00472129" w:rsidRDefault="00472129">
    <w:pPr>
      <w:pStyle w:val="Footer"/>
      <w:jc w:val="center"/>
      <w:rPr>
        <w:rFonts w:ascii="Arial" w:hAnsi="Arial"/>
      </w:rPr>
    </w:pPr>
    <w:r>
      <w:rPr>
        <w:rFonts w:ascii="Arial" w:hAnsi="Arial"/>
        <w:b/>
        <w:sz w:val="16"/>
      </w:rPr>
      <w:t xml:space="preserve"> EXCELLENCE IS OUR STANDARD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8F5" w:rsidRDefault="008B08F5">
      <w:r>
        <w:separator/>
      </w:r>
    </w:p>
  </w:footnote>
  <w:footnote w:type="continuationSeparator" w:id="0">
    <w:p w:rsidR="008B08F5" w:rsidRDefault="008B0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912"/>
      <w:gridCol w:w="3912"/>
      <w:gridCol w:w="3912"/>
    </w:tblGrid>
    <w:tr w:rsidR="00472129">
      <w:tc>
        <w:tcPr>
          <w:tcW w:w="3912" w:type="dxa"/>
        </w:tcPr>
        <w:p w:rsidR="00472129" w:rsidRDefault="00472129">
          <w:pPr>
            <w:pStyle w:val="Header"/>
            <w:rPr>
              <w:rFonts w:ascii="Arial" w:hAnsi="Arial"/>
              <w:sz w:val="18"/>
            </w:rPr>
          </w:pPr>
          <w:r>
            <w:rPr>
              <w:rFonts w:ascii="Arial" w:hAnsi="Arial"/>
              <w:sz w:val="18"/>
            </w:rPr>
            <w:t>Bob Anthony</w:t>
          </w:r>
        </w:p>
      </w:tc>
      <w:tc>
        <w:tcPr>
          <w:tcW w:w="3912" w:type="dxa"/>
        </w:tcPr>
        <w:p w:rsidR="00472129" w:rsidRDefault="00472129">
          <w:pPr>
            <w:pStyle w:val="Header"/>
            <w:jc w:val="center"/>
            <w:rPr>
              <w:rFonts w:ascii="Arial" w:hAnsi="Arial"/>
              <w:sz w:val="18"/>
            </w:rPr>
          </w:pPr>
          <w:r>
            <w:rPr>
              <w:rFonts w:ascii="Arial" w:hAnsi="Arial"/>
              <w:sz w:val="18"/>
            </w:rPr>
            <w:t>Todd Hiett</w:t>
          </w:r>
        </w:p>
      </w:tc>
      <w:tc>
        <w:tcPr>
          <w:tcW w:w="3912" w:type="dxa"/>
        </w:tcPr>
        <w:p w:rsidR="00472129" w:rsidRDefault="00472129">
          <w:pPr>
            <w:pStyle w:val="Header"/>
            <w:jc w:val="right"/>
            <w:rPr>
              <w:rFonts w:ascii="Arial" w:hAnsi="Arial"/>
              <w:sz w:val="18"/>
            </w:rPr>
          </w:pPr>
          <w:r>
            <w:rPr>
              <w:rFonts w:ascii="Arial" w:hAnsi="Arial"/>
              <w:sz w:val="18"/>
            </w:rPr>
            <w:t>Dana Murphy</w:t>
          </w:r>
        </w:p>
      </w:tc>
    </w:tr>
    <w:tr w:rsidR="00472129">
      <w:tc>
        <w:tcPr>
          <w:tcW w:w="3912" w:type="dxa"/>
        </w:tcPr>
        <w:p w:rsidR="00472129" w:rsidRDefault="00472129">
          <w:pPr>
            <w:pStyle w:val="Header"/>
            <w:rPr>
              <w:rFonts w:ascii="Arial" w:hAnsi="Arial"/>
              <w:sz w:val="18"/>
            </w:rPr>
          </w:pPr>
          <w:r>
            <w:rPr>
              <w:rFonts w:ascii="Arial" w:hAnsi="Arial"/>
              <w:sz w:val="18"/>
            </w:rPr>
            <w:t>Commissioner</w:t>
          </w:r>
        </w:p>
      </w:tc>
      <w:tc>
        <w:tcPr>
          <w:tcW w:w="3912" w:type="dxa"/>
        </w:tcPr>
        <w:p w:rsidR="00472129" w:rsidRDefault="00472129">
          <w:pPr>
            <w:pStyle w:val="Header"/>
            <w:jc w:val="center"/>
            <w:rPr>
              <w:rFonts w:ascii="Arial" w:hAnsi="Arial"/>
              <w:sz w:val="18"/>
            </w:rPr>
          </w:pPr>
          <w:r>
            <w:rPr>
              <w:rFonts w:ascii="Arial" w:hAnsi="Arial"/>
              <w:sz w:val="18"/>
            </w:rPr>
            <w:t>Commissioner</w:t>
          </w:r>
        </w:p>
      </w:tc>
      <w:tc>
        <w:tcPr>
          <w:tcW w:w="3912" w:type="dxa"/>
        </w:tcPr>
        <w:p w:rsidR="00472129" w:rsidRDefault="00472129">
          <w:pPr>
            <w:pStyle w:val="Header"/>
            <w:jc w:val="right"/>
            <w:rPr>
              <w:rFonts w:ascii="Arial" w:hAnsi="Arial"/>
              <w:sz w:val="18"/>
            </w:rPr>
          </w:pPr>
          <w:r>
            <w:rPr>
              <w:rFonts w:ascii="Arial" w:hAnsi="Arial"/>
              <w:sz w:val="18"/>
            </w:rPr>
            <w:t>Commissioner</w:t>
          </w:r>
        </w:p>
      </w:tc>
    </w:tr>
  </w:tbl>
  <w:p w:rsidR="00472129" w:rsidRDefault="00472129">
    <w:pPr>
      <w:tabs>
        <w:tab w:val="left" w:pos="-720"/>
        <w:tab w:val="left" w:pos="720"/>
        <w:tab w:val="right" w:pos="6033"/>
        <w:tab w:val="right" w:pos="10080"/>
        <w:tab w:val="right" w:pos="10713"/>
      </w:tabs>
      <w:rPr>
        <w:rFonts w:ascii="Arial" w:hAnsi="Arial"/>
        <w:sz w:val="22"/>
      </w:rPr>
    </w:pPr>
  </w:p>
  <w:p w:rsidR="00472129" w:rsidRDefault="00472129">
    <w:pPr>
      <w:tabs>
        <w:tab w:val="left" w:pos="-720"/>
        <w:tab w:val="left" w:pos="720"/>
        <w:tab w:val="right" w:pos="6033"/>
        <w:tab w:val="right" w:pos="10080"/>
        <w:tab w:val="right" w:pos="10713"/>
      </w:tabs>
      <w:rPr>
        <w:rFonts w:ascii="Arial" w:hAnsi="Arial"/>
        <w:sz w:val="22"/>
      </w:rPr>
    </w:pPr>
    <w:r>
      <w:rPr>
        <w:rFonts w:ascii="Arial" w:hAnsi="Arial"/>
        <w:sz w:val="22"/>
      </w:rPr>
      <w:t>OKLAHOMA</w:t>
    </w:r>
  </w:p>
  <w:p w:rsidR="00472129" w:rsidRDefault="00472129">
    <w:pPr>
      <w:tabs>
        <w:tab w:val="left" w:pos="-720"/>
        <w:tab w:val="left" w:pos="720"/>
        <w:tab w:val="right" w:pos="6033"/>
        <w:tab w:val="left" w:pos="9540"/>
        <w:tab w:val="right" w:pos="10080"/>
        <w:tab w:val="right" w:pos="10713"/>
      </w:tabs>
      <w:rPr>
        <w:rFonts w:ascii="Arial" w:hAnsi="Arial"/>
        <w:sz w:val="18"/>
      </w:rPr>
    </w:pPr>
    <w:r>
      <w:rPr>
        <w:rFonts w:ascii="Arial" w:hAnsi="Arial"/>
        <w:b/>
        <w:sz w:val="50"/>
      </w:rPr>
      <w:t>Corporation Commission</w:t>
    </w:r>
    <w:r>
      <w:rPr>
        <w:rFonts w:ascii="Arial" w:hAnsi="Arial"/>
        <w:sz w:val="18"/>
      </w:rPr>
      <w:tab/>
    </w:r>
    <w:r>
      <w:rPr>
        <w:rFonts w:ascii="Arial" w:hAnsi="Arial"/>
        <w:sz w:val="18"/>
      </w:rPr>
      <w:tab/>
    </w:r>
    <w:r>
      <w:rPr>
        <w:rFonts w:ascii="Arial" w:hAnsi="Arial"/>
        <w:sz w:val="18"/>
      </w:rPr>
      <w:tab/>
      <w:t>255 Jim Thorpe Building</w:t>
    </w:r>
  </w:p>
  <w:p w:rsidR="00472129" w:rsidRDefault="00472129">
    <w:pPr>
      <w:tabs>
        <w:tab w:val="left" w:pos="-720"/>
        <w:tab w:val="left" w:pos="720"/>
        <w:tab w:val="right" w:pos="6033"/>
        <w:tab w:val="left" w:pos="9360"/>
        <w:tab w:val="right" w:pos="10080"/>
        <w:tab w:val="right" w:pos="10713"/>
      </w:tabs>
      <w:ind w:firstLine="720"/>
      <w:rPr>
        <w:rFonts w:ascii="Arial" w:hAnsi="Arial"/>
        <w:sz w:val="18"/>
      </w:rPr>
    </w:pPr>
    <w:r>
      <w:rPr>
        <w:rFonts w:ascii="Arial" w:hAnsi="Arial"/>
        <w:sz w:val="18"/>
      </w:rPr>
      <w:t>P.O. BOX 52000</w:t>
    </w:r>
    <w:r>
      <w:rPr>
        <w:rFonts w:ascii="Arial" w:hAnsi="Arial"/>
        <w:sz w:val="18"/>
      </w:rPr>
      <w:tab/>
    </w:r>
    <w:r>
      <w:rPr>
        <w:rFonts w:ascii="Arial" w:hAnsi="Arial"/>
        <w:sz w:val="18"/>
      </w:rPr>
      <w:tab/>
      <w:t>Telephone: (405)521-2302</w:t>
    </w:r>
  </w:p>
  <w:p w:rsidR="00472129" w:rsidRDefault="00472129">
    <w:pPr>
      <w:tabs>
        <w:tab w:val="left" w:pos="-720"/>
        <w:tab w:val="left" w:pos="720"/>
        <w:tab w:val="right" w:pos="6033"/>
        <w:tab w:val="left" w:pos="9864"/>
        <w:tab w:val="right" w:pos="10713"/>
      </w:tabs>
      <w:ind w:firstLine="720"/>
      <w:rPr>
        <w:rFonts w:ascii="Arial" w:hAnsi="Arial"/>
        <w:sz w:val="18"/>
      </w:rPr>
    </w:pPr>
    <w:r>
      <w:rPr>
        <w:noProof/>
      </w:rPr>
      <w:drawing>
        <wp:anchor distT="0" distB="0" distL="114300" distR="114300" simplePos="0" relativeHeight="251657728" behindDoc="0" locked="0" layoutInCell="0" allowOverlap="1">
          <wp:simplePos x="0" y="0"/>
          <wp:positionH relativeFrom="column">
            <wp:posOffset>3794760</wp:posOffset>
          </wp:positionH>
          <wp:positionV relativeFrom="paragraph">
            <wp:posOffset>107950</wp:posOffset>
          </wp:positionV>
          <wp:extent cx="740410" cy="729615"/>
          <wp:effectExtent l="19050" t="0" r="2540" b="0"/>
          <wp:wrapTopAndBottom/>
          <wp:docPr id="1" name="Picture 1" descr="OK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SEAL"/>
                  <pic:cNvPicPr>
                    <a:picLocks noChangeAspect="1" noChangeArrowheads="1"/>
                  </pic:cNvPicPr>
                </pic:nvPicPr>
                <pic:blipFill>
                  <a:blip r:embed="rId1"/>
                  <a:srcRect/>
                  <a:stretch>
                    <a:fillRect/>
                  </a:stretch>
                </pic:blipFill>
                <pic:spPr bwMode="auto">
                  <a:xfrm>
                    <a:off x="0" y="0"/>
                    <a:ext cx="740410" cy="729615"/>
                  </a:xfrm>
                  <a:prstGeom prst="rect">
                    <a:avLst/>
                  </a:prstGeom>
                  <a:noFill/>
                  <a:ln w="9525">
                    <a:noFill/>
                    <a:miter lim="800000"/>
                    <a:headEnd/>
                    <a:tailEnd/>
                  </a:ln>
                </pic:spPr>
              </pic:pic>
            </a:graphicData>
          </a:graphic>
        </wp:anchor>
      </w:drawing>
    </w:r>
    <w:r>
      <w:rPr>
        <w:rFonts w:ascii="Arial" w:hAnsi="Arial"/>
        <w:sz w:val="18"/>
      </w:rPr>
      <w:t>OKLAHOMA CITY OKLAHOMA 73152-2000</w:t>
    </w:r>
    <w:r>
      <w:rPr>
        <w:rFonts w:ascii="Arial" w:hAnsi="Arial"/>
        <w:sz w:val="18"/>
      </w:rPr>
      <w:tab/>
    </w:r>
    <w:r>
      <w:rPr>
        <w:rFonts w:ascii="Arial" w:hAnsi="Arial"/>
        <w:sz w:val="18"/>
      </w:rPr>
      <w:tab/>
      <w:t>FAX: (405)521-3099</w:t>
    </w:r>
  </w:p>
  <w:p w:rsidR="00472129" w:rsidRDefault="00472129">
    <w:pPr>
      <w:pStyle w:val="Header"/>
      <w:rPr>
        <w:u w:val="single"/>
      </w:rPr>
    </w:pPr>
    <w:r>
      <w:rPr>
        <w:u w:val="single"/>
      </w:rPr>
      <w:tab/>
    </w:r>
    <w:r>
      <w:rPr>
        <w:u w:val="single"/>
      </w:rPr>
      <w:tab/>
    </w:r>
    <w:r>
      <w:rPr>
        <w:u w:val="single"/>
      </w:rPr>
      <w:tab/>
    </w:r>
    <w:r>
      <w:rPr>
        <w:u w:val="single"/>
      </w:rPr>
      <w:tab/>
    </w:r>
    <w:r>
      <w:rPr>
        <w:u w:val="single"/>
      </w:rPr>
      <w:tab/>
    </w:r>
    <w:r>
      <w:rPr>
        <w:u w:val="single"/>
      </w:rPr>
      <w:tab/>
    </w:r>
  </w:p>
  <w:p w:rsidR="00472129" w:rsidRDefault="00472129">
    <w:pPr>
      <w:pStyle w:val="Header"/>
    </w:pPr>
  </w:p>
  <w:p w:rsidR="00472129" w:rsidRDefault="00472129">
    <w:pPr>
      <w:tabs>
        <w:tab w:val="left" w:pos="-720"/>
        <w:tab w:val="left" w:pos="720"/>
        <w:tab w:val="right" w:pos="6033"/>
        <w:tab w:val="left" w:pos="7920"/>
        <w:tab w:val="left" w:pos="8640"/>
        <w:tab w:val="right" w:pos="10080"/>
        <w:tab w:val="right" w:pos="10713"/>
      </w:tabs>
      <w:rPr>
        <w:rFonts w:ascii="Arial" w:hAnsi="Arial"/>
      </w:rPr>
    </w:pPr>
    <w:r>
      <w:rPr>
        <w:rFonts w:ascii="Arial" w:hAnsi="Arial"/>
        <w:b/>
        <w:sz w:val="24"/>
      </w:rPr>
      <w:t>OIL &amp; GAS CONSERVATION DIVISION</w:t>
    </w:r>
    <w:r>
      <w:rPr>
        <w:rFonts w:ascii="Arial" w:hAnsi="Arial"/>
      </w:rPr>
      <w:tab/>
    </w:r>
    <w:r>
      <w:rPr>
        <w:rFonts w:ascii="Arial" w:hAnsi="Arial"/>
      </w:rPr>
      <w:tab/>
      <w:t xml:space="preserve">           </w:t>
    </w:r>
    <w:r>
      <w:rPr>
        <w:rFonts w:ascii="Arial" w:hAnsi="Arial"/>
        <w:b/>
        <w:sz w:val="24"/>
      </w:rPr>
      <w:t>Tim Baker, Director</w:t>
    </w:r>
  </w:p>
  <w:p w:rsidR="00472129" w:rsidRDefault="00472129">
    <w:pPr>
      <w:pStyle w:val="Header"/>
      <w:rPr>
        <w:u w:val="single"/>
      </w:rPr>
    </w:pPr>
    <w:r>
      <w:rPr>
        <w:u w:val="single"/>
      </w:rPr>
      <w:tab/>
    </w:r>
    <w:r>
      <w:rPr>
        <w:u w:val="single"/>
      </w:rPr>
      <w:tab/>
    </w:r>
    <w:r>
      <w:rPr>
        <w:u w:val="single"/>
      </w:rPr>
      <w:tab/>
    </w:r>
    <w:r>
      <w:rPr>
        <w:u w:val="single"/>
      </w:rPr>
      <w:tab/>
    </w:r>
    <w:r>
      <w:rPr>
        <w:u w:val="single"/>
      </w:rPr>
      <w:tab/>
    </w:r>
    <w:r>
      <w:rPr>
        <w:u w:val="single"/>
      </w:rPr>
      <w:tab/>
    </w:r>
  </w:p>
  <w:p w:rsidR="00472129" w:rsidRDefault="00472129">
    <w:pPr>
      <w:pStyle w:val="Head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C2BDE"/>
    <w:multiLevelType w:val="hybridMultilevel"/>
    <w:tmpl w:val="FC888A6E"/>
    <w:lvl w:ilvl="0" w:tplc="220A31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4C8551C"/>
    <w:multiLevelType w:val="singleLevel"/>
    <w:tmpl w:val="C7FA672E"/>
    <w:lvl w:ilvl="0">
      <w:start w:val="8"/>
      <w:numFmt w:val="lowerLetter"/>
      <w:lvlText w:val="%1."/>
      <w:lvlJc w:val="left"/>
      <w:pPr>
        <w:tabs>
          <w:tab w:val="num" w:pos="1125"/>
        </w:tabs>
        <w:ind w:left="1125" w:hanging="405"/>
      </w:pPr>
      <w:rPr>
        <w:rFonts w:hint="default"/>
      </w:rPr>
    </w:lvl>
  </w:abstractNum>
  <w:abstractNum w:abstractNumId="2">
    <w:nsid w:val="24ED5F53"/>
    <w:multiLevelType w:val="hybridMultilevel"/>
    <w:tmpl w:val="E8B2B51E"/>
    <w:lvl w:ilvl="0" w:tplc="C4AC9446">
      <w:start w:val="1"/>
      <w:numFmt w:val="decimal"/>
      <w:lvlText w:val="%1."/>
      <w:lvlJc w:val="left"/>
      <w:pPr>
        <w:ind w:left="1080" w:hanging="360"/>
      </w:pPr>
      <w:rPr>
        <w:rFonts w:hint="default"/>
      </w:rPr>
    </w:lvl>
    <w:lvl w:ilvl="1" w:tplc="E2D8FC52">
      <w:start w:val="1"/>
      <w:numFmt w:val="lowerLetter"/>
      <w:lvlText w:val="%2."/>
      <w:lvlJc w:val="left"/>
      <w:pPr>
        <w:ind w:left="180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541F5B"/>
    <w:multiLevelType w:val="singleLevel"/>
    <w:tmpl w:val="176844BC"/>
    <w:lvl w:ilvl="0">
      <w:start w:val="1"/>
      <w:numFmt w:val="upperLetter"/>
      <w:lvlText w:val="%1."/>
      <w:lvlJc w:val="left"/>
      <w:pPr>
        <w:tabs>
          <w:tab w:val="num" w:pos="1095"/>
        </w:tabs>
        <w:ind w:left="1095" w:hanging="375"/>
      </w:pPr>
      <w:rPr>
        <w:rFonts w:hint="default"/>
      </w:rPr>
    </w:lvl>
  </w:abstractNum>
  <w:abstractNum w:abstractNumId="4">
    <w:nsid w:val="5D403BEE"/>
    <w:multiLevelType w:val="hybridMultilevel"/>
    <w:tmpl w:val="D750BDB6"/>
    <w:lvl w:ilvl="0" w:tplc="86FC09B0">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71AB0B12"/>
    <w:multiLevelType w:val="hybridMultilevel"/>
    <w:tmpl w:val="DDA6B02E"/>
    <w:lvl w:ilvl="0" w:tplc="6D9C6F10">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06"/>
    <w:rsid w:val="00027E1F"/>
    <w:rsid w:val="00052F84"/>
    <w:rsid w:val="000A341F"/>
    <w:rsid w:val="000D0808"/>
    <w:rsid w:val="000D2612"/>
    <w:rsid w:val="000E060D"/>
    <w:rsid w:val="00115B14"/>
    <w:rsid w:val="00115C58"/>
    <w:rsid w:val="00141CA1"/>
    <w:rsid w:val="00185C25"/>
    <w:rsid w:val="00191E59"/>
    <w:rsid w:val="0019271E"/>
    <w:rsid w:val="001A21EE"/>
    <w:rsid w:val="001B5EAB"/>
    <w:rsid w:val="00260BDE"/>
    <w:rsid w:val="00297D72"/>
    <w:rsid w:val="002A1486"/>
    <w:rsid w:val="002A64DF"/>
    <w:rsid w:val="002C3D93"/>
    <w:rsid w:val="002E7CE2"/>
    <w:rsid w:val="003F59BA"/>
    <w:rsid w:val="00472129"/>
    <w:rsid w:val="004829FE"/>
    <w:rsid w:val="004A19D3"/>
    <w:rsid w:val="004A276C"/>
    <w:rsid w:val="004E1483"/>
    <w:rsid w:val="00525FD6"/>
    <w:rsid w:val="00563B38"/>
    <w:rsid w:val="005D0EC7"/>
    <w:rsid w:val="005D3A33"/>
    <w:rsid w:val="005F3439"/>
    <w:rsid w:val="005F4607"/>
    <w:rsid w:val="00607357"/>
    <w:rsid w:val="006462D8"/>
    <w:rsid w:val="006B0447"/>
    <w:rsid w:val="006C47A4"/>
    <w:rsid w:val="00706D50"/>
    <w:rsid w:val="00711961"/>
    <w:rsid w:val="00717BDD"/>
    <w:rsid w:val="00722534"/>
    <w:rsid w:val="007672FC"/>
    <w:rsid w:val="00777FA1"/>
    <w:rsid w:val="00796AF3"/>
    <w:rsid w:val="007A16EC"/>
    <w:rsid w:val="007F7A39"/>
    <w:rsid w:val="008014F9"/>
    <w:rsid w:val="00835898"/>
    <w:rsid w:val="00861909"/>
    <w:rsid w:val="00863334"/>
    <w:rsid w:val="00873808"/>
    <w:rsid w:val="008B08F5"/>
    <w:rsid w:val="008D1F57"/>
    <w:rsid w:val="008E2A6F"/>
    <w:rsid w:val="008F7FE4"/>
    <w:rsid w:val="00937D08"/>
    <w:rsid w:val="00946B67"/>
    <w:rsid w:val="00947A74"/>
    <w:rsid w:val="00954065"/>
    <w:rsid w:val="009A5442"/>
    <w:rsid w:val="009B28E4"/>
    <w:rsid w:val="009F7DFC"/>
    <w:rsid w:val="00A00889"/>
    <w:rsid w:val="00A122F7"/>
    <w:rsid w:val="00A31653"/>
    <w:rsid w:val="00A33388"/>
    <w:rsid w:val="00A37CFE"/>
    <w:rsid w:val="00A40DA7"/>
    <w:rsid w:val="00A50606"/>
    <w:rsid w:val="00A94865"/>
    <w:rsid w:val="00AA3ABC"/>
    <w:rsid w:val="00B077DC"/>
    <w:rsid w:val="00B25DEE"/>
    <w:rsid w:val="00B55534"/>
    <w:rsid w:val="00B60EC4"/>
    <w:rsid w:val="00C25279"/>
    <w:rsid w:val="00C25A75"/>
    <w:rsid w:val="00C34C76"/>
    <w:rsid w:val="00C655CF"/>
    <w:rsid w:val="00C86817"/>
    <w:rsid w:val="00C906E0"/>
    <w:rsid w:val="00CC08A1"/>
    <w:rsid w:val="00D02910"/>
    <w:rsid w:val="00D1038B"/>
    <w:rsid w:val="00D81B2D"/>
    <w:rsid w:val="00E1066E"/>
    <w:rsid w:val="00E11306"/>
    <w:rsid w:val="00E50DCC"/>
    <w:rsid w:val="00E735B8"/>
    <w:rsid w:val="00E74185"/>
    <w:rsid w:val="00E82C59"/>
    <w:rsid w:val="00E97B99"/>
    <w:rsid w:val="00EB6147"/>
    <w:rsid w:val="00F06731"/>
    <w:rsid w:val="00F14A57"/>
    <w:rsid w:val="00F2321C"/>
    <w:rsid w:val="00F269F9"/>
    <w:rsid w:val="00F620CB"/>
    <w:rsid w:val="00FA66EE"/>
    <w:rsid w:val="00FD61FE"/>
    <w:rsid w:val="00FD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E4"/>
  </w:style>
  <w:style w:type="paragraph" w:styleId="Heading1">
    <w:name w:val="heading 1"/>
    <w:basedOn w:val="Normal"/>
    <w:next w:val="Normal"/>
    <w:qFormat/>
    <w:rsid w:val="009B28E4"/>
    <w:pPr>
      <w:keepNext/>
      <w:jc w:val="both"/>
      <w:outlineLvl w:val="0"/>
    </w:pPr>
    <w:rPr>
      <w:sz w:val="28"/>
    </w:rPr>
  </w:style>
  <w:style w:type="paragraph" w:styleId="Heading2">
    <w:name w:val="heading 2"/>
    <w:basedOn w:val="Normal"/>
    <w:next w:val="Normal"/>
    <w:qFormat/>
    <w:rsid w:val="009B28E4"/>
    <w:pPr>
      <w:keepNext/>
      <w:ind w:firstLine="720"/>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B28E4"/>
    <w:pPr>
      <w:tabs>
        <w:tab w:val="center" w:pos="4320"/>
        <w:tab w:val="right" w:pos="8640"/>
      </w:tabs>
    </w:pPr>
  </w:style>
  <w:style w:type="paragraph" w:styleId="Footer">
    <w:name w:val="footer"/>
    <w:basedOn w:val="Normal"/>
    <w:semiHidden/>
    <w:rsid w:val="009B28E4"/>
    <w:pPr>
      <w:tabs>
        <w:tab w:val="center" w:pos="4320"/>
        <w:tab w:val="right" w:pos="8640"/>
      </w:tabs>
    </w:pPr>
  </w:style>
  <w:style w:type="character" w:styleId="Hyperlink">
    <w:name w:val="Hyperlink"/>
    <w:basedOn w:val="DefaultParagraphFont"/>
    <w:semiHidden/>
    <w:rsid w:val="009B28E4"/>
    <w:rPr>
      <w:color w:val="0000FF"/>
      <w:u w:val="single"/>
    </w:rPr>
  </w:style>
  <w:style w:type="paragraph" w:styleId="BodyTextIndent">
    <w:name w:val="Body Text Indent"/>
    <w:basedOn w:val="Normal"/>
    <w:semiHidden/>
    <w:rsid w:val="009B28E4"/>
    <w:pPr>
      <w:ind w:left="720"/>
      <w:jc w:val="both"/>
    </w:pPr>
    <w:rPr>
      <w:sz w:val="28"/>
    </w:rPr>
  </w:style>
  <w:style w:type="paragraph" w:styleId="BlockText">
    <w:name w:val="Block Text"/>
    <w:basedOn w:val="Normal"/>
    <w:semiHidden/>
    <w:rsid w:val="009B28E4"/>
    <w:pPr>
      <w:ind w:left="1440" w:right="1440"/>
      <w:jc w:val="both"/>
    </w:pPr>
    <w:rPr>
      <w:sz w:val="28"/>
    </w:rPr>
  </w:style>
  <w:style w:type="character" w:styleId="PageNumber">
    <w:name w:val="page number"/>
    <w:basedOn w:val="DefaultParagraphFont"/>
    <w:semiHidden/>
    <w:rsid w:val="009B28E4"/>
  </w:style>
  <w:style w:type="paragraph" w:styleId="ListParagraph">
    <w:name w:val="List Paragraph"/>
    <w:basedOn w:val="Normal"/>
    <w:uiPriority w:val="34"/>
    <w:qFormat/>
    <w:rsid w:val="001B5EAB"/>
    <w:pPr>
      <w:ind w:left="720"/>
      <w:contextualSpacing/>
    </w:pPr>
  </w:style>
  <w:style w:type="paragraph" w:styleId="BalloonText">
    <w:name w:val="Balloon Text"/>
    <w:basedOn w:val="Normal"/>
    <w:link w:val="BalloonTextChar"/>
    <w:uiPriority w:val="99"/>
    <w:semiHidden/>
    <w:unhideWhenUsed/>
    <w:rsid w:val="00C25279"/>
    <w:rPr>
      <w:rFonts w:ascii="Tahoma" w:hAnsi="Tahoma" w:cs="Tahoma"/>
      <w:sz w:val="16"/>
      <w:szCs w:val="16"/>
    </w:rPr>
  </w:style>
  <w:style w:type="character" w:customStyle="1" w:styleId="BalloonTextChar">
    <w:name w:val="Balloon Text Char"/>
    <w:basedOn w:val="DefaultParagraphFont"/>
    <w:link w:val="BalloonText"/>
    <w:uiPriority w:val="99"/>
    <w:semiHidden/>
    <w:rsid w:val="00C252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E4"/>
  </w:style>
  <w:style w:type="paragraph" w:styleId="Heading1">
    <w:name w:val="heading 1"/>
    <w:basedOn w:val="Normal"/>
    <w:next w:val="Normal"/>
    <w:qFormat/>
    <w:rsid w:val="009B28E4"/>
    <w:pPr>
      <w:keepNext/>
      <w:jc w:val="both"/>
      <w:outlineLvl w:val="0"/>
    </w:pPr>
    <w:rPr>
      <w:sz w:val="28"/>
    </w:rPr>
  </w:style>
  <w:style w:type="paragraph" w:styleId="Heading2">
    <w:name w:val="heading 2"/>
    <w:basedOn w:val="Normal"/>
    <w:next w:val="Normal"/>
    <w:qFormat/>
    <w:rsid w:val="009B28E4"/>
    <w:pPr>
      <w:keepNext/>
      <w:ind w:firstLine="720"/>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B28E4"/>
    <w:pPr>
      <w:tabs>
        <w:tab w:val="center" w:pos="4320"/>
        <w:tab w:val="right" w:pos="8640"/>
      </w:tabs>
    </w:pPr>
  </w:style>
  <w:style w:type="paragraph" w:styleId="Footer">
    <w:name w:val="footer"/>
    <w:basedOn w:val="Normal"/>
    <w:semiHidden/>
    <w:rsid w:val="009B28E4"/>
    <w:pPr>
      <w:tabs>
        <w:tab w:val="center" w:pos="4320"/>
        <w:tab w:val="right" w:pos="8640"/>
      </w:tabs>
    </w:pPr>
  </w:style>
  <w:style w:type="character" w:styleId="Hyperlink">
    <w:name w:val="Hyperlink"/>
    <w:basedOn w:val="DefaultParagraphFont"/>
    <w:semiHidden/>
    <w:rsid w:val="009B28E4"/>
    <w:rPr>
      <w:color w:val="0000FF"/>
      <w:u w:val="single"/>
    </w:rPr>
  </w:style>
  <w:style w:type="paragraph" w:styleId="BodyTextIndent">
    <w:name w:val="Body Text Indent"/>
    <w:basedOn w:val="Normal"/>
    <w:semiHidden/>
    <w:rsid w:val="009B28E4"/>
    <w:pPr>
      <w:ind w:left="720"/>
      <w:jc w:val="both"/>
    </w:pPr>
    <w:rPr>
      <w:sz w:val="28"/>
    </w:rPr>
  </w:style>
  <w:style w:type="paragraph" w:styleId="BlockText">
    <w:name w:val="Block Text"/>
    <w:basedOn w:val="Normal"/>
    <w:semiHidden/>
    <w:rsid w:val="009B28E4"/>
    <w:pPr>
      <w:ind w:left="1440" w:right="1440"/>
      <w:jc w:val="both"/>
    </w:pPr>
    <w:rPr>
      <w:sz w:val="28"/>
    </w:rPr>
  </w:style>
  <w:style w:type="character" w:styleId="PageNumber">
    <w:name w:val="page number"/>
    <w:basedOn w:val="DefaultParagraphFont"/>
    <w:semiHidden/>
    <w:rsid w:val="009B28E4"/>
  </w:style>
  <w:style w:type="paragraph" w:styleId="ListParagraph">
    <w:name w:val="List Paragraph"/>
    <w:basedOn w:val="Normal"/>
    <w:uiPriority w:val="34"/>
    <w:qFormat/>
    <w:rsid w:val="001B5EAB"/>
    <w:pPr>
      <w:ind w:left="720"/>
      <w:contextualSpacing/>
    </w:pPr>
  </w:style>
  <w:style w:type="paragraph" w:styleId="BalloonText">
    <w:name w:val="Balloon Text"/>
    <w:basedOn w:val="Normal"/>
    <w:link w:val="BalloonTextChar"/>
    <w:uiPriority w:val="99"/>
    <w:semiHidden/>
    <w:unhideWhenUsed/>
    <w:rsid w:val="00C25279"/>
    <w:rPr>
      <w:rFonts w:ascii="Tahoma" w:hAnsi="Tahoma" w:cs="Tahoma"/>
      <w:sz w:val="16"/>
      <w:szCs w:val="16"/>
    </w:rPr>
  </w:style>
  <w:style w:type="character" w:customStyle="1" w:styleId="BalloonTextChar">
    <w:name w:val="Balloon Text Char"/>
    <w:basedOn w:val="DefaultParagraphFont"/>
    <w:link w:val="BalloonText"/>
    <w:uiPriority w:val="99"/>
    <w:semiHidden/>
    <w:rsid w:val="00C25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4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ord@occe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gvolumes@occemail.com" TargetMode="External"/><Relationship Id="rId4" Type="http://schemas.microsoft.com/office/2007/relationships/stylesWithEffects" Target="stylesWithEffects.xml"/><Relationship Id="rId9" Type="http://schemas.openxmlformats.org/officeDocument/2006/relationships/hyperlink" Target="http://www.occeweb.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General%20-%20OGC\OGC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7E210-9A4F-45F6-A743-B31850D7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OGC_Letter.dot</Template>
  <TotalTime>0</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Oklahoma Corporation Commission</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Williams</dc:creator>
  <cp:lastModifiedBy>Craig Sundstrom</cp:lastModifiedBy>
  <cp:revision>2</cp:revision>
  <cp:lastPrinted>2015-07-14T15:34:00Z</cp:lastPrinted>
  <dcterms:created xsi:type="dcterms:W3CDTF">2015-07-20T20:33:00Z</dcterms:created>
  <dcterms:modified xsi:type="dcterms:W3CDTF">2015-07-20T20:33:00Z</dcterms:modified>
</cp:coreProperties>
</file>